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4E80F" w14:textId="399D087F" w:rsidR="009B1905" w:rsidRPr="009A0568" w:rsidRDefault="009B1905" w:rsidP="009B1905">
      <w:pPr>
        <w:ind w:left="100"/>
        <w:jc w:val="center"/>
        <w:rPr>
          <w:b/>
          <w:bCs/>
          <w:sz w:val="24"/>
        </w:rPr>
      </w:pPr>
      <w:r w:rsidRPr="009A0568">
        <w:rPr>
          <w:b/>
          <w:bCs/>
          <w:sz w:val="24"/>
        </w:rPr>
        <w:t xml:space="preserve">Relazione </w:t>
      </w:r>
      <w:r w:rsidR="0017176E">
        <w:rPr>
          <w:b/>
          <w:bCs/>
          <w:sz w:val="24"/>
        </w:rPr>
        <w:t>Illustrativa</w:t>
      </w:r>
    </w:p>
    <w:p w14:paraId="79C74B8E" w14:textId="77777777" w:rsidR="009B1905" w:rsidRPr="009A0568" w:rsidRDefault="009B1905" w:rsidP="009B1905">
      <w:pPr>
        <w:ind w:left="100"/>
        <w:jc w:val="center"/>
        <w:rPr>
          <w:b/>
          <w:bCs/>
          <w:sz w:val="24"/>
        </w:rPr>
      </w:pPr>
    </w:p>
    <w:p w14:paraId="310AB92F" w14:textId="549D6A38" w:rsidR="0020305E" w:rsidRDefault="0020305E" w:rsidP="0076773F">
      <w:pPr>
        <w:jc w:val="both"/>
        <w:rPr>
          <w:sz w:val="24"/>
        </w:rPr>
      </w:pPr>
    </w:p>
    <w:p w14:paraId="5422FDDB" w14:textId="3F1D5236" w:rsidR="00684C31" w:rsidRDefault="0020305E" w:rsidP="0076773F">
      <w:pPr>
        <w:jc w:val="both"/>
        <w:rPr>
          <w:sz w:val="24"/>
        </w:rPr>
      </w:pPr>
      <w:r>
        <w:rPr>
          <w:sz w:val="24"/>
        </w:rPr>
        <w:t xml:space="preserve">La </w:t>
      </w:r>
      <w:r w:rsidRPr="009A0568">
        <w:rPr>
          <w:sz w:val="24"/>
        </w:rPr>
        <w:t xml:space="preserve">legge 9 agosto 2023, n. 111, </w:t>
      </w:r>
      <w:r>
        <w:rPr>
          <w:sz w:val="24"/>
        </w:rPr>
        <w:t>recante la d</w:t>
      </w:r>
      <w:r w:rsidRPr="0020305E">
        <w:rPr>
          <w:sz w:val="24"/>
        </w:rPr>
        <w:t>elega al Governo per la riforma fiscale</w:t>
      </w:r>
      <w:r w:rsidR="00684C31">
        <w:rPr>
          <w:sz w:val="24"/>
        </w:rPr>
        <w:t xml:space="preserve">, ha dettato al suo articolo </w:t>
      </w:r>
      <w:r w:rsidR="009B1905" w:rsidRPr="009A0568">
        <w:rPr>
          <w:sz w:val="24"/>
        </w:rPr>
        <w:t>15</w:t>
      </w:r>
      <w:r w:rsidR="00684C31">
        <w:rPr>
          <w:sz w:val="24"/>
        </w:rPr>
        <w:t xml:space="preserve"> principi e criteri direttivi orientati a</w:t>
      </w:r>
      <w:r w:rsidR="00684C31" w:rsidRPr="00684C31">
        <w:rPr>
          <w:sz w:val="24"/>
        </w:rPr>
        <w:t>l riordino delle disposizioni vigenti in materia di giochi pubblici, fermo restando il modello organizzativo dei giochi pubblici fondato sul regime concessorio e autorizzatorio, quale garanzia di tutela della fede, dell</w:t>
      </w:r>
      <w:r w:rsidR="00684C31">
        <w:rPr>
          <w:sz w:val="24"/>
        </w:rPr>
        <w:t>’</w:t>
      </w:r>
      <w:r w:rsidR="00684C31" w:rsidRPr="00684C31">
        <w:rPr>
          <w:sz w:val="24"/>
        </w:rPr>
        <w:t>ordine e della sicurezza pubblici, del contemperamento degli interessi pubblici generali in tema di salute con quelli erariali sul regolare afflusso del prelievo tributario gravante sui giochi, nonché della prevenzione del riciclaggio dei proventi di attività criminose</w:t>
      </w:r>
      <w:r w:rsidR="00684C31">
        <w:rPr>
          <w:sz w:val="24"/>
        </w:rPr>
        <w:t>.</w:t>
      </w:r>
    </w:p>
    <w:p w14:paraId="62E7B5FC" w14:textId="361C03A0" w:rsidR="00684C31" w:rsidRDefault="00684C31" w:rsidP="0076773F">
      <w:pPr>
        <w:jc w:val="both"/>
        <w:rPr>
          <w:sz w:val="24"/>
        </w:rPr>
      </w:pPr>
    </w:p>
    <w:p w14:paraId="782A783B" w14:textId="083C0910" w:rsidR="00684C31" w:rsidRPr="00684C31" w:rsidRDefault="00684C31" w:rsidP="0076773F">
      <w:pPr>
        <w:jc w:val="both"/>
        <w:rPr>
          <w:sz w:val="24"/>
        </w:rPr>
      </w:pPr>
      <w:r>
        <w:rPr>
          <w:sz w:val="24"/>
        </w:rPr>
        <w:t xml:space="preserve">Può essere utile ricordare introduttivamente che, oggi, </w:t>
      </w:r>
      <w:r w:rsidR="00B66214">
        <w:rPr>
          <w:sz w:val="24"/>
        </w:rPr>
        <w:t xml:space="preserve">in Italia </w:t>
      </w:r>
      <w:r>
        <w:rPr>
          <w:sz w:val="24"/>
        </w:rPr>
        <w:t>i</w:t>
      </w:r>
      <w:r w:rsidRPr="00684C31">
        <w:rPr>
          <w:sz w:val="24"/>
        </w:rPr>
        <w:t>l sistema dei giochi pubblici</w:t>
      </w:r>
      <w:r w:rsidR="00B66214">
        <w:rPr>
          <w:sz w:val="24"/>
        </w:rPr>
        <w:t xml:space="preserve"> continua ad essere</w:t>
      </w:r>
      <w:r w:rsidRPr="00684C31">
        <w:rPr>
          <w:sz w:val="24"/>
        </w:rPr>
        <w:t xml:space="preserve"> basato su </w:t>
      </w:r>
      <w:r>
        <w:rPr>
          <w:sz w:val="24"/>
        </w:rPr>
        <w:t>due fondamentali</w:t>
      </w:r>
      <w:r w:rsidRPr="00684C31">
        <w:rPr>
          <w:sz w:val="24"/>
        </w:rPr>
        <w:t xml:space="preserve"> principi ordinamentali:</w:t>
      </w:r>
    </w:p>
    <w:p w14:paraId="10535E68" w14:textId="77777777" w:rsidR="00684C31" w:rsidRPr="00684C31" w:rsidRDefault="00684C31" w:rsidP="0076773F">
      <w:pPr>
        <w:ind w:left="284" w:hanging="284"/>
        <w:jc w:val="both"/>
        <w:rPr>
          <w:sz w:val="24"/>
        </w:rPr>
      </w:pPr>
      <w:r w:rsidRPr="00684C31">
        <w:rPr>
          <w:sz w:val="24"/>
        </w:rPr>
        <w:t>a) spetta allo Stato stabilire a cosa poter giocare e dove poterlo fare (c.d. riserva legale statale);</w:t>
      </w:r>
    </w:p>
    <w:p w14:paraId="69596FB4" w14:textId="12F8233A" w:rsidR="00684C31" w:rsidRPr="00684C31" w:rsidRDefault="00684C31" w:rsidP="0076773F">
      <w:pPr>
        <w:ind w:left="284" w:hanging="284"/>
        <w:jc w:val="both"/>
        <w:rPr>
          <w:sz w:val="24"/>
        </w:rPr>
      </w:pPr>
      <w:r w:rsidRPr="00684C31">
        <w:rPr>
          <w:sz w:val="24"/>
        </w:rPr>
        <w:t>b) spetta allo Stato scegliere se l’organizzazione dei giochi pubblici avviene secondo modello di gestione diretta ovvero secondo il modello della esternalizzazione</w:t>
      </w:r>
      <w:r>
        <w:rPr>
          <w:sz w:val="24"/>
        </w:rPr>
        <w:t xml:space="preserve">, ossia mediante </w:t>
      </w:r>
      <w:r w:rsidRPr="00684C31">
        <w:rPr>
          <w:sz w:val="24"/>
        </w:rPr>
        <w:t xml:space="preserve">affidamento, con gara pubblica europea, a </w:t>
      </w:r>
      <w:r>
        <w:rPr>
          <w:sz w:val="24"/>
        </w:rPr>
        <w:t xml:space="preserve">soggetti </w:t>
      </w:r>
      <w:r w:rsidRPr="00684C31">
        <w:rPr>
          <w:sz w:val="24"/>
        </w:rPr>
        <w:t>privati dotati di particolari requisiti.</w:t>
      </w:r>
    </w:p>
    <w:p w14:paraId="271F47E0" w14:textId="37F03190" w:rsidR="00684C31" w:rsidRDefault="00684C31" w:rsidP="0076773F">
      <w:pPr>
        <w:pStyle w:val="Nessunaspaziatura"/>
        <w:jc w:val="both"/>
        <w:rPr>
          <w:sz w:val="24"/>
          <w:szCs w:val="24"/>
        </w:rPr>
      </w:pPr>
    </w:p>
    <w:p w14:paraId="44CAFF4D" w14:textId="5D398D10" w:rsidR="00B66214" w:rsidRDefault="00B66214" w:rsidP="00B66214">
      <w:pPr>
        <w:pStyle w:val="Nessunaspaziatura"/>
        <w:jc w:val="both"/>
        <w:rPr>
          <w:sz w:val="24"/>
          <w:szCs w:val="24"/>
        </w:rPr>
      </w:pPr>
      <w:r>
        <w:rPr>
          <w:sz w:val="24"/>
          <w:szCs w:val="24"/>
        </w:rPr>
        <w:t xml:space="preserve">Principi fondamentali, quelli ora ricordati, che ancora affondano le </w:t>
      </w:r>
      <w:r w:rsidR="00E13D31">
        <w:rPr>
          <w:sz w:val="24"/>
          <w:szCs w:val="24"/>
        </w:rPr>
        <w:t xml:space="preserve">loro </w:t>
      </w:r>
      <w:r>
        <w:rPr>
          <w:sz w:val="24"/>
          <w:szCs w:val="24"/>
        </w:rPr>
        <w:t xml:space="preserve">radici nel decreto legislativo </w:t>
      </w:r>
      <w:r w:rsidRPr="00B66214">
        <w:rPr>
          <w:sz w:val="24"/>
          <w:szCs w:val="24"/>
        </w:rPr>
        <w:t>14 aprile 1948, n. 496</w:t>
      </w:r>
      <w:r>
        <w:rPr>
          <w:sz w:val="24"/>
          <w:szCs w:val="24"/>
        </w:rPr>
        <w:t xml:space="preserve">, recante disciplina </w:t>
      </w:r>
      <w:r w:rsidRPr="00B66214">
        <w:rPr>
          <w:sz w:val="24"/>
          <w:szCs w:val="24"/>
        </w:rPr>
        <w:t>delle attività di giuoco</w:t>
      </w:r>
      <w:r>
        <w:rPr>
          <w:sz w:val="24"/>
          <w:szCs w:val="24"/>
        </w:rPr>
        <w:t xml:space="preserve">, a mente dei cui primi </w:t>
      </w:r>
      <w:r w:rsidR="00E13D31">
        <w:rPr>
          <w:sz w:val="24"/>
          <w:szCs w:val="24"/>
        </w:rPr>
        <w:t xml:space="preserve">due </w:t>
      </w:r>
      <w:r>
        <w:rPr>
          <w:sz w:val="24"/>
          <w:szCs w:val="24"/>
        </w:rPr>
        <w:t>articoli, per quanto qui d’interesse:</w:t>
      </w:r>
    </w:p>
    <w:p w14:paraId="6DAFF394" w14:textId="34B6429D" w:rsidR="00B66214" w:rsidRPr="00B66214" w:rsidRDefault="00B66214" w:rsidP="00B66214">
      <w:pPr>
        <w:pStyle w:val="Nessunaspaziatura"/>
        <w:ind w:left="142" w:hanging="142"/>
        <w:jc w:val="both"/>
        <w:rPr>
          <w:sz w:val="24"/>
          <w:szCs w:val="24"/>
        </w:rPr>
      </w:pPr>
      <w:r>
        <w:rPr>
          <w:sz w:val="24"/>
          <w:szCs w:val="24"/>
        </w:rPr>
        <w:t>- l’</w:t>
      </w:r>
      <w:r w:rsidRPr="00B66214">
        <w:rPr>
          <w:sz w:val="24"/>
          <w:szCs w:val="24"/>
        </w:rPr>
        <w:t>organizzazione e l</w:t>
      </w:r>
      <w:r>
        <w:rPr>
          <w:sz w:val="24"/>
          <w:szCs w:val="24"/>
        </w:rPr>
        <w:t>’</w:t>
      </w:r>
      <w:r w:rsidRPr="00B66214">
        <w:rPr>
          <w:sz w:val="24"/>
          <w:szCs w:val="24"/>
        </w:rPr>
        <w:t>esercizio di giuochi di abilità e di concorsi pronostici, per i quali si corrisponda una ricompensa di qualsiasi natura e per la cui partecipazione sia richiesto il pagamento di una posta in denaro, sono riservati allo Stato</w:t>
      </w:r>
      <w:r>
        <w:rPr>
          <w:sz w:val="24"/>
          <w:szCs w:val="24"/>
        </w:rPr>
        <w:t>;</w:t>
      </w:r>
    </w:p>
    <w:p w14:paraId="78D17376" w14:textId="55F6CC76" w:rsidR="00B66214" w:rsidRPr="00B66214" w:rsidRDefault="00B66214" w:rsidP="00B66214">
      <w:pPr>
        <w:pStyle w:val="Nessunaspaziatura"/>
        <w:ind w:left="142" w:hanging="142"/>
        <w:jc w:val="both"/>
        <w:rPr>
          <w:sz w:val="24"/>
          <w:szCs w:val="24"/>
        </w:rPr>
      </w:pPr>
      <w:r>
        <w:rPr>
          <w:sz w:val="24"/>
          <w:szCs w:val="24"/>
        </w:rPr>
        <w:t>- l’</w:t>
      </w:r>
      <w:r w:rsidRPr="00B66214">
        <w:rPr>
          <w:sz w:val="24"/>
          <w:szCs w:val="24"/>
        </w:rPr>
        <w:t>organizzazione e l</w:t>
      </w:r>
      <w:r>
        <w:rPr>
          <w:sz w:val="24"/>
          <w:szCs w:val="24"/>
        </w:rPr>
        <w:t>’</w:t>
      </w:r>
      <w:r w:rsidRPr="00B66214">
        <w:rPr>
          <w:sz w:val="24"/>
          <w:szCs w:val="24"/>
        </w:rPr>
        <w:t>esercizio delle attività di cui al precedente articolo sono affidate al Ministero delle finanze il quale può effettuarne la gestione o direttamente, o per mezzo di persone fisiche o giuridiche, che diano adeguata garanzia di idoneità.</w:t>
      </w:r>
    </w:p>
    <w:p w14:paraId="5F25A25E" w14:textId="2AE7143F" w:rsidR="00B66214" w:rsidRDefault="00B66214" w:rsidP="0076773F">
      <w:pPr>
        <w:pStyle w:val="Nessunaspaziatura"/>
        <w:jc w:val="both"/>
        <w:rPr>
          <w:sz w:val="24"/>
          <w:szCs w:val="24"/>
        </w:rPr>
      </w:pPr>
    </w:p>
    <w:p w14:paraId="7F20BDF1" w14:textId="57D4698A" w:rsidR="00684C31" w:rsidRPr="00684C31" w:rsidRDefault="00684C31" w:rsidP="0076773F">
      <w:pPr>
        <w:pStyle w:val="Nessunaspaziatura"/>
        <w:jc w:val="both"/>
        <w:rPr>
          <w:sz w:val="24"/>
          <w:szCs w:val="24"/>
        </w:rPr>
      </w:pPr>
      <w:r w:rsidRPr="00684C31">
        <w:rPr>
          <w:sz w:val="24"/>
          <w:szCs w:val="24"/>
        </w:rPr>
        <w:t xml:space="preserve">Da </w:t>
      </w:r>
      <w:r w:rsidR="0076773F">
        <w:rPr>
          <w:sz w:val="24"/>
          <w:szCs w:val="24"/>
        </w:rPr>
        <w:t xml:space="preserve">molti </w:t>
      </w:r>
      <w:r w:rsidRPr="00684C31">
        <w:rPr>
          <w:sz w:val="24"/>
          <w:szCs w:val="24"/>
        </w:rPr>
        <w:t xml:space="preserve">anni </w:t>
      </w:r>
      <w:r w:rsidR="0076773F">
        <w:rPr>
          <w:sz w:val="24"/>
          <w:szCs w:val="24"/>
        </w:rPr>
        <w:t xml:space="preserve">ormai in Italia </w:t>
      </w:r>
      <w:r w:rsidRPr="00684C31">
        <w:rPr>
          <w:sz w:val="24"/>
          <w:szCs w:val="24"/>
        </w:rPr>
        <w:t xml:space="preserve">la gestione dei giochi pubblici </w:t>
      </w:r>
      <w:r w:rsidR="0076773F">
        <w:rPr>
          <w:sz w:val="24"/>
          <w:szCs w:val="24"/>
        </w:rPr>
        <w:t xml:space="preserve">è impostata </w:t>
      </w:r>
      <w:r w:rsidRPr="00684C31">
        <w:rPr>
          <w:sz w:val="24"/>
          <w:szCs w:val="24"/>
        </w:rPr>
        <w:t xml:space="preserve">secondo il modello della </w:t>
      </w:r>
      <w:r w:rsidR="0076773F">
        <w:rPr>
          <w:sz w:val="24"/>
          <w:szCs w:val="24"/>
        </w:rPr>
        <w:t xml:space="preserve">loro </w:t>
      </w:r>
      <w:r w:rsidRPr="00684C31">
        <w:rPr>
          <w:sz w:val="24"/>
          <w:szCs w:val="24"/>
        </w:rPr>
        <w:t>esternalizzazione a pubblici concessionari</w:t>
      </w:r>
      <w:r w:rsidR="0076773F">
        <w:rPr>
          <w:sz w:val="24"/>
          <w:szCs w:val="24"/>
        </w:rPr>
        <w:t xml:space="preserve">, </w:t>
      </w:r>
      <w:r w:rsidRPr="00684C31">
        <w:rPr>
          <w:sz w:val="24"/>
          <w:szCs w:val="24"/>
        </w:rPr>
        <w:t>scelti con apposite gare</w:t>
      </w:r>
      <w:r w:rsidR="0076773F">
        <w:rPr>
          <w:sz w:val="24"/>
          <w:szCs w:val="24"/>
        </w:rPr>
        <w:t xml:space="preserve"> e </w:t>
      </w:r>
      <w:r w:rsidRPr="00684C31">
        <w:rPr>
          <w:sz w:val="24"/>
          <w:szCs w:val="24"/>
        </w:rPr>
        <w:t xml:space="preserve">le cui concessioni durano </w:t>
      </w:r>
      <w:r w:rsidR="0076773F">
        <w:rPr>
          <w:sz w:val="24"/>
          <w:szCs w:val="24"/>
        </w:rPr>
        <w:t xml:space="preserve">nove </w:t>
      </w:r>
      <w:r w:rsidRPr="00684C31">
        <w:rPr>
          <w:sz w:val="24"/>
          <w:szCs w:val="24"/>
        </w:rPr>
        <w:t xml:space="preserve">anni (durata </w:t>
      </w:r>
      <w:r w:rsidR="0076773F">
        <w:rPr>
          <w:sz w:val="24"/>
          <w:szCs w:val="24"/>
        </w:rPr>
        <w:t xml:space="preserve">questa </w:t>
      </w:r>
      <w:r w:rsidRPr="00684C31">
        <w:rPr>
          <w:sz w:val="24"/>
          <w:szCs w:val="24"/>
        </w:rPr>
        <w:t>commisurata ad un ragionevole periodo di ammortamento, per i privati concessionari, de</w:t>
      </w:r>
      <w:r w:rsidR="0076773F">
        <w:rPr>
          <w:sz w:val="24"/>
          <w:szCs w:val="24"/>
        </w:rPr>
        <w:t>i</w:t>
      </w:r>
      <w:r w:rsidRPr="00684C31">
        <w:rPr>
          <w:sz w:val="24"/>
          <w:szCs w:val="24"/>
        </w:rPr>
        <w:t xml:space="preserve"> loro investiment</w:t>
      </w:r>
      <w:r w:rsidR="0076773F">
        <w:rPr>
          <w:sz w:val="24"/>
          <w:szCs w:val="24"/>
        </w:rPr>
        <w:t>i</w:t>
      </w:r>
      <w:r w:rsidRPr="00684C31">
        <w:rPr>
          <w:sz w:val="24"/>
          <w:szCs w:val="24"/>
        </w:rPr>
        <w:t>).</w:t>
      </w:r>
    </w:p>
    <w:p w14:paraId="2623BE4A" w14:textId="77777777" w:rsidR="00684C31" w:rsidRPr="00684C31" w:rsidRDefault="00684C31" w:rsidP="0076773F">
      <w:pPr>
        <w:pStyle w:val="Nessunaspaziatura"/>
        <w:jc w:val="both"/>
        <w:rPr>
          <w:sz w:val="24"/>
          <w:szCs w:val="24"/>
        </w:rPr>
      </w:pPr>
    </w:p>
    <w:p w14:paraId="4447DA8D" w14:textId="484F265B" w:rsidR="00684C31" w:rsidRPr="00684C31" w:rsidRDefault="0076773F" w:rsidP="0076773F">
      <w:pPr>
        <w:pStyle w:val="Nessunaspaziatura"/>
        <w:jc w:val="both"/>
        <w:rPr>
          <w:sz w:val="24"/>
          <w:szCs w:val="24"/>
        </w:rPr>
      </w:pPr>
      <w:r>
        <w:rPr>
          <w:sz w:val="24"/>
          <w:szCs w:val="24"/>
        </w:rPr>
        <w:t>Vale altresì ricordare che in Italia – ferma la disciplina organizzativa e gestionale dei casinò che, è bene sottolineare, non è minimamente interessata dallo schema di decreto delegato in esame – l</w:t>
      </w:r>
      <w:r w:rsidR="00684C31" w:rsidRPr="00684C31">
        <w:rPr>
          <w:sz w:val="24"/>
          <w:szCs w:val="24"/>
        </w:rPr>
        <w:t xml:space="preserve">a raccolta dei giochi pubblici avviene attraverso </w:t>
      </w:r>
      <w:r>
        <w:rPr>
          <w:sz w:val="24"/>
          <w:szCs w:val="24"/>
        </w:rPr>
        <w:t xml:space="preserve">due </w:t>
      </w:r>
      <w:r w:rsidR="00684C31" w:rsidRPr="00684C31">
        <w:rPr>
          <w:sz w:val="24"/>
          <w:szCs w:val="24"/>
        </w:rPr>
        <w:t>canali:</w:t>
      </w:r>
    </w:p>
    <w:p w14:paraId="13981982" w14:textId="77777777" w:rsidR="00684C31" w:rsidRPr="00684C31" w:rsidRDefault="00684C31" w:rsidP="0076773F">
      <w:pPr>
        <w:pStyle w:val="Nessunaspaziatura"/>
        <w:ind w:left="284" w:hanging="284"/>
        <w:jc w:val="both"/>
        <w:rPr>
          <w:sz w:val="24"/>
          <w:szCs w:val="24"/>
        </w:rPr>
      </w:pPr>
      <w:r w:rsidRPr="00684C31">
        <w:rPr>
          <w:sz w:val="24"/>
          <w:szCs w:val="24"/>
        </w:rPr>
        <w:t>a) quello storico, costituito dalla rete di luoghi fisici nei quali è consentito acquistare prodotti di gioco;</w:t>
      </w:r>
    </w:p>
    <w:p w14:paraId="6BC3DBD3" w14:textId="6A34919E" w:rsidR="00684C31" w:rsidRPr="00684C31" w:rsidRDefault="00684C31" w:rsidP="0076773F">
      <w:pPr>
        <w:pStyle w:val="Nessunaspaziatura"/>
        <w:ind w:left="284" w:hanging="284"/>
        <w:jc w:val="both"/>
        <w:rPr>
          <w:sz w:val="24"/>
          <w:szCs w:val="24"/>
        </w:rPr>
      </w:pPr>
      <w:r w:rsidRPr="00684C31">
        <w:rPr>
          <w:sz w:val="24"/>
          <w:szCs w:val="24"/>
        </w:rPr>
        <w:t xml:space="preserve">b) quello più recente (avviatosi </w:t>
      </w:r>
      <w:r w:rsidR="0076773F">
        <w:rPr>
          <w:sz w:val="24"/>
          <w:szCs w:val="24"/>
        </w:rPr>
        <w:t xml:space="preserve">sul finire </w:t>
      </w:r>
      <w:r w:rsidRPr="00684C31">
        <w:rPr>
          <w:sz w:val="24"/>
          <w:szCs w:val="24"/>
        </w:rPr>
        <w:t>dello scorso decennio</w:t>
      </w:r>
      <w:r w:rsidR="0076773F">
        <w:rPr>
          <w:sz w:val="24"/>
          <w:szCs w:val="24"/>
        </w:rPr>
        <w:t xml:space="preserve"> con la </w:t>
      </w:r>
      <w:r w:rsidR="0076773F" w:rsidRPr="0076773F">
        <w:rPr>
          <w:sz w:val="24"/>
          <w:szCs w:val="24"/>
        </w:rPr>
        <w:t>legge 7 luglio 2009, n. 88</w:t>
      </w:r>
      <w:r w:rsidR="0076773F">
        <w:rPr>
          <w:sz w:val="24"/>
          <w:szCs w:val="24"/>
        </w:rPr>
        <w:t xml:space="preserve">, </w:t>
      </w:r>
      <w:r w:rsidR="0076773F" w:rsidRPr="0076773F">
        <w:rPr>
          <w:sz w:val="24"/>
          <w:szCs w:val="24"/>
        </w:rPr>
        <w:t xml:space="preserve">legge </w:t>
      </w:r>
      <w:r w:rsidR="0076773F">
        <w:rPr>
          <w:sz w:val="24"/>
          <w:szCs w:val="24"/>
        </w:rPr>
        <w:t>c</w:t>
      </w:r>
      <w:r w:rsidR="0076773F" w:rsidRPr="0076773F">
        <w:rPr>
          <w:sz w:val="24"/>
          <w:szCs w:val="24"/>
        </w:rPr>
        <w:t>omunitaria 2009</w:t>
      </w:r>
      <w:r w:rsidR="0076773F">
        <w:rPr>
          <w:sz w:val="24"/>
          <w:szCs w:val="24"/>
        </w:rPr>
        <w:t xml:space="preserve">, articolo </w:t>
      </w:r>
      <w:r w:rsidR="0076773F" w:rsidRPr="0076773F">
        <w:rPr>
          <w:sz w:val="24"/>
          <w:szCs w:val="24"/>
        </w:rPr>
        <w:t>24, commi da 11 a 25</w:t>
      </w:r>
      <w:r w:rsidR="0076773F">
        <w:rPr>
          <w:sz w:val="24"/>
          <w:szCs w:val="24"/>
        </w:rPr>
        <w:t>)</w:t>
      </w:r>
      <w:r w:rsidRPr="00684C31">
        <w:rPr>
          <w:sz w:val="24"/>
          <w:szCs w:val="24"/>
        </w:rPr>
        <w:t xml:space="preserve">, costituito dal gioco </w:t>
      </w:r>
      <w:r w:rsidRPr="0076773F">
        <w:rPr>
          <w:i/>
          <w:sz w:val="24"/>
          <w:szCs w:val="24"/>
        </w:rPr>
        <w:t>online</w:t>
      </w:r>
      <w:r w:rsidR="0076773F">
        <w:rPr>
          <w:sz w:val="24"/>
          <w:szCs w:val="24"/>
        </w:rPr>
        <w:t xml:space="preserve"> o, come pure si usa dire, a distanza</w:t>
      </w:r>
      <w:r w:rsidRPr="00684C31">
        <w:rPr>
          <w:sz w:val="24"/>
          <w:szCs w:val="24"/>
        </w:rPr>
        <w:t>.</w:t>
      </w:r>
    </w:p>
    <w:p w14:paraId="4BBEB066" w14:textId="77777777" w:rsidR="00684C31" w:rsidRPr="00684C31" w:rsidRDefault="00684C31" w:rsidP="0076773F">
      <w:pPr>
        <w:pStyle w:val="Nessunaspaziatura"/>
        <w:jc w:val="both"/>
        <w:rPr>
          <w:sz w:val="24"/>
          <w:szCs w:val="24"/>
        </w:rPr>
      </w:pPr>
    </w:p>
    <w:p w14:paraId="2D3B5527" w14:textId="439C72D1" w:rsidR="0076773F" w:rsidRPr="00E13D31" w:rsidRDefault="0076773F" w:rsidP="0076773F">
      <w:pPr>
        <w:pStyle w:val="Nessunaspaziatura"/>
        <w:jc w:val="both"/>
        <w:rPr>
          <w:sz w:val="24"/>
          <w:szCs w:val="24"/>
        </w:rPr>
      </w:pPr>
      <w:r w:rsidRPr="00E13D31">
        <w:rPr>
          <w:sz w:val="24"/>
          <w:szCs w:val="24"/>
        </w:rPr>
        <w:t>Attualmente, però, il ricordato modello della esternalizzazione è praticamente bloccato</w:t>
      </w:r>
      <w:r w:rsidR="00543EF8" w:rsidRPr="00E13D31">
        <w:rPr>
          <w:sz w:val="24"/>
          <w:szCs w:val="24"/>
        </w:rPr>
        <w:t>, in quanto</w:t>
      </w:r>
      <w:r w:rsidRPr="00E13D31">
        <w:rPr>
          <w:sz w:val="24"/>
          <w:szCs w:val="24"/>
        </w:rPr>
        <w:t>:</w:t>
      </w:r>
    </w:p>
    <w:p w14:paraId="583E7569" w14:textId="4CB71070" w:rsidR="0076773F" w:rsidRPr="0076773F" w:rsidRDefault="0076773F" w:rsidP="00543EF8">
      <w:pPr>
        <w:pStyle w:val="Nessunaspaziatura"/>
        <w:ind w:left="284" w:hanging="284"/>
        <w:jc w:val="both"/>
        <w:rPr>
          <w:sz w:val="24"/>
          <w:szCs w:val="24"/>
        </w:rPr>
      </w:pPr>
      <w:r w:rsidRPr="00E13D31">
        <w:rPr>
          <w:sz w:val="24"/>
          <w:szCs w:val="24"/>
        </w:rPr>
        <w:t xml:space="preserve">a) le gare per l’affidamento delle concessioni per la raccolta del gioco </w:t>
      </w:r>
      <w:r w:rsidRPr="00E13D31">
        <w:rPr>
          <w:i/>
          <w:sz w:val="24"/>
          <w:szCs w:val="24"/>
        </w:rPr>
        <w:t>online</w:t>
      </w:r>
      <w:r w:rsidRPr="00E13D31">
        <w:rPr>
          <w:sz w:val="24"/>
          <w:szCs w:val="24"/>
        </w:rPr>
        <w:t xml:space="preserve"> non sono</w:t>
      </w:r>
      <w:r w:rsidR="00543EF8" w:rsidRPr="00E13D31">
        <w:rPr>
          <w:sz w:val="24"/>
          <w:szCs w:val="24"/>
        </w:rPr>
        <w:t xml:space="preserve"> state</w:t>
      </w:r>
      <w:r w:rsidRPr="00E13D31">
        <w:rPr>
          <w:sz w:val="24"/>
          <w:szCs w:val="24"/>
        </w:rPr>
        <w:t xml:space="preserve"> bandite da tempo e, piuttosto, </w:t>
      </w:r>
      <w:r w:rsidR="00543EF8" w:rsidRPr="00E13D31">
        <w:rPr>
          <w:sz w:val="24"/>
          <w:szCs w:val="24"/>
        </w:rPr>
        <w:t xml:space="preserve">restano </w:t>
      </w:r>
      <w:r w:rsidRPr="00E13D31">
        <w:rPr>
          <w:sz w:val="24"/>
          <w:szCs w:val="24"/>
        </w:rPr>
        <w:t>prorogate per legge (</w:t>
      </w:r>
      <w:r w:rsidR="00B13A00" w:rsidRPr="00E13D31">
        <w:rPr>
          <w:sz w:val="24"/>
          <w:szCs w:val="24"/>
        </w:rPr>
        <w:t>le attuali concessioni per l’esercizio e la raccolta del gioco a distanza con vincita in denaro dei giochi, di cui</w:t>
      </w:r>
      <w:r w:rsidR="00B13A00" w:rsidRPr="00B13A00">
        <w:rPr>
          <w:sz w:val="24"/>
          <w:szCs w:val="24"/>
        </w:rPr>
        <w:t xml:space="preserve"> all’articolo 24, comma 11, lettere da a) a f), della legge n. 88</w:t>
      </w:r>
      <w:r w:rsidR="00B13A00">
        <w:rPr>
          <w:sz w:val="24"/>
          <w:szCs w:val="24"/>
        </w:rPr>
        <w:t xml:space="preserve"> del 2009</w:t>
      </w:r>
      <w:r w:rsidR="00B13A00" w:rsidRPr="00B13A00">
        <w:rPr>
          <w:sz w:val="24"/>
          <w:szCs w:val="24"/>
        </w:rPr>
        <w:t xml:space="preserve">, in scadenza </w:t>
      </w:r>
      <w:r w:rsidR="00B13A00">
        <w:rPr>
          <w:sz w:val="24"/>
          <w:szCs w:val="24"/>
        </w:rPr>
        <w:t>i</w:t>
      </w:r>
      <w:r w:rsidR="00B13A00" w:rsidRPr="00B13A00">
        <w:rPr>
          <w:sz w:val="24"/>
          <w:szCs w:val="24"/>
        </w:rPr>
        <w:t xml:space="preserve">l 31 dicembre 2022, sono state </w:t>
      </w:r>
      <w:r w:rsidR="00B13A00">
        <w:rPr>
          <w:sz w:val="24"/>
          <w:szCs w:val="24"/>
        </w:rPr>
        <w:t xml:space="preserve">invero </w:t>
      </w:r>
      <w:r w:rsidR="00B13A00" w:rsidRPr="00B13A00">
        <w:rPr>
          <w:sz w:val="24"/>
          <w:szCs w:val="24"/>
        </w:rPr>
        <w:t>prorogate</w:t>
      </w:r>
      <w:r w:rsidR="00B13A00">
        <w:rPr>
          <w:sz w:val="24"/>
          <w:szCs w:val="24"/>
        </w:rPr>
        <w:t xml:space="preserve">, con un modesto onere, fino al 31 dicembre </w:t>
      </w:r>
      <w:r w:rsidR="00B13A00">
        <w:rPr>
          <w:sz w:val="24"/>
          <w:szCs w:val="24"/>
        </w:rPr>
        <w:lastRenderedPageBreak/>
        <w:t>2024, per effetto de</w:t>
      </w:r>
      <w:r w:rsidR="00B13A00" w:rsidRPr="00B13A00">
        <w:rPr>
          <w:sz w:val="24"/>
          <w:szCs w:val="24"/>
        </w:rPr>
        <w:t xml:space="preserve">lla </w:t>
      </w:r>
      <w:r w:rsidR="00B13A00">
        <w:rPr>
          <w:sz w:val="24"/>
          <w:szCs w:val="24"/>
        </w:rPr>
        <w:t>l</w:t>
      </w:r>
      <w:r w:rsidR="00B13A00" w:rsidRPr="00B13A00">
        <w:rPr>
          <w:sz w:val="24"/>
          <w:szCs w:val="24"/>
        </w:rPr>
        <w:t>egge 29 dicembre 2022, n. 197</w:t>
      </w:r>
      <w:r w:rsidR="00B13A00">
        <w:rPr>
          <w:sz w:val="24"/>
          <w:szCs w:val="24"/>
        </w:rPr>
        <w:t>,</w:t>
      </w:r>
      <w:r w:rsidR="00B13A00" w:rsidRPr="00B13A00">
        <w:rPr>
          <w:sz w:val="24"/>
          <w:szCs w:val="24"/>
        </w:rPr>
        <w:t xml:space="preserve"> legge di bilancio 2023</w:t>
      </w:r>
      <w:r w:rsidR="00B13A00">
        <w:rPr>
          <w:sz w:val="24"/>
          <w:szCs w:val="24"/>
        </w:rPr>
        <w:t>)</w:t>
      </w:r>
      <w:r w:rsidRPr="0076773F">
        <w:rPr>
          <w:sz w:val="24"/>
          <w:szCs w:val="24"/>
        </w:rPr>
        <w:t>;</w:t>
      </w:r>
    </w:p>
    <w:p w14:paraId="6F2B187B" w14:textId="0F7607D6" w:rsidR="0076773F" w:rsidRPr="0076773F" w:rsidRDefault="0076773F" w:rsidP="00543EF8">
      <w:pPr>
        <w:pStyle w:val="Nessunaspaziatura"/>
        <w:ind w:left="284" w:hanging="284"/>
        <w:jc w:val="both"/>
        <w:rPr>
          <w:sz w:val="24"/>
          <w:szCs w:val="24"/>
        </w:rPr>
      </w:pPr>
      <w:r w:rsidRPr="0076773F">
        <w:rPr>
          <w:sz w:val="24"/>
          <w:szCs w:val="24"/>
        </w:rPr>
        <w:t xml:space="preserve">b) le gare per l’affidamento delle concessioni per la raccolta del gioco in reti fisiche non sono </w:t>
      </w:r>
      <w:r w:rsidR="00543EF8">
        <w:rPr>
          <w:sz w:val="24"/>
          <w:szCs w:val="24"/>
        </w:rPr>
        <w:t xml:space="preserve">state </w:t>
      </w:r>
      <w:r w:rsidRPr="0076773F">
        <w:rPr>
          <w:sz w:val="24"/>
          <w:szCs w:val="24"/>
        </w:rPr>
        <w:t>bandite per l’incertezza di quali sono i luoghi fisici in cui è consentito aprire un punto fisico di gioco senza incorrere nei limiti ostativi introdotti con leggi regionali e soprattutto con mutevoli regolament</w:t>
      </w:r>
      <w:r w:rsidR="00543EF8">
        <w:rPr>
          <w:sz w:val="24"/>
          <w:szCs w:val="24"/>
        </w:rPr>
        <w:t>i</w:t>
      </w:r>
      <w:r w:rsidRPr="0076773F">
        <w:rPr>
          <w:sz w:val="24"/>
          <w:szCs w:val="24"/>
        </w:rPr>
        <w:t xml:space="preserve"> comunali (</w:t>
      </w:r>
      <w:r w:rsidR="00543EF8">
        <w:rPr>
          <w:sz w:val="24"/>
          <w:szCs w:val="24"/>
        </w:rPr>
        <w:t xml:space="preserve">che hanno disciplinato, </w:t>
      </w:r>
      <w:r w:rsidRPr="0076773F">
        <w:rPr>
          <w:sz w:val="24"/>
          <w:szCs w:val="24"/>
        </w:rPr>
        <w:t>in particolare, limiti di distanze dei luoghi fisici di offerta di gioco diversificati in funzione di tipologie diverse di siti qualificati come sensibili</w:t>
      </w:r>
      <w:r w:rsidR="00543EF8">
        <w:rPr>
          <w:sz w:val="24"/>
          <w:szCs w:val="24"/>
        </w:rPr>
        <w:t xml:space="preserve">, </w:t>
      </w:r>
      <w:proofErr w:type="spellStart"/>
      <w:r w:rsidR="00543EF8">
        <w:rPr>
          <w:sz w:val="24"/>
          <w:szCs w:val="24"/>
        </w:rPr>
        <w:t>nonchè</w:t>
      </w:r>
      <w:proofErr w:type="spellEnd"/>
      <w:r w:rsidRPr="0076773F">
        <w:rPr>
          <w:sz w:val="24"/>
          <w:szCs w:val="24"/>
        </w:rPr>
        <w:t xml:space="preserve"> limiti di orari quotidiani solo durante i quali l’offerta di gioco è consentita).</w:t>
      </w:r>
    </w:p>
    <w:p w14:paraId="635710A1" w14:textId="77777777" w:rsidR="0076773F" w:rsidRPr="0076773F" w:rsidRDefault="0076773F" w:rsidP="0076773F">
      <w:pPr>
        <w:pStyle w:val="Nessunaspaziatura"/>
        <w:jc w:val="both"/>
        <w:rPr>
          <w:sz w:val="24"/>
          <w:szCs w:val="24"/>
        </w:rPr>
      </w:pPr>
    </w:p>
    <w:p w14:paraId="1E25EAB3" w14:textId="507C54A3" w:rsidR="0076773F" w:rsidRPr="0076773F" w:rsidRDefault="0076773F" w:rsidP="0076773F">
      <w:pPr>
        <w:pStyle w:val="Nessunaspaziatura"/>
        <w:jc w:val="both"/>
        <w:rPr>
          <w:sz w:val="24"/>
          <w:szCs w:val="24"/>
        </w:rPr>
      </w:pPr>
      <w:r w:rsidRPr="0076773F">
        <w:rPr>
          <w:sz w:val="24"/>
          <w:szCs w:val="24"/>
        </w:rPr>
        <w:t xml:space="preserve">La criticità sub b) è sorta e si è sviluppata </w:t>
      </w:r>
      <w:r w:rsidR="00543EF8">
        <w:rPr>
          <w:sz w:val="24"/>
          <w:szCs w:val="24"/>
        </w:rPr>
        <w:t xml:space="preserve">a partire </w:t>
      </w:r>
      <w:r w:rsidRPr="0076773F">
        <w:rPr>
          <w:sz w:val="24"/>
          <w:szCs w:val="24"/>
        </w:rPr>
        <w:t xml:space="preserve">dal 2013 </w:t>
      </w:r>
      <w:r w:rsidR="00543EF8">
        <w:rPr>
          <w:sz w:val="24"/>
          <w:szCs w:val="24"/>
        </w:rPr>
        <w:t xml:space="preserve">con l’avvento di </w:t>
      </w:r>
      <w:r w:rsidRPr="0076773F">
        <w:rPr>
          <w:sz w:val="24"/>
          <w:szCs w:val="24"/>
        </w:rPr>
        <w:t xml:space="preserve">leggi </w:t>
      </w:r>
      <w:r w:rsidR="00543EF8">
        <w:rPr>
          <w:sz w:val="24"/>
          <w:szCs w:val="24"/>
        </w:rPr>
        <w:t xml:space="preserve">regionali </w:t>
      </w:r>
      <w:r w:rsidRPr="0076773F">
        <w:rPr>
          <w:sz w:val="24"/>
          <w:szCs w:val="24"/>
        </w:rPr>
        <w:t xml:space="preserve">e regolamenti comunali </w:t>
      </w:r>
      <w:r w:rsidR="00543EF8">
        <w:rPr>
          <w:sz w:val="24"/>
          <w:szCs w:val="24"/>
        </w:rPr>
        <w:t xml:space="preserve">specificamente orientati a </w:t>
      </w:r>
      <w:r w:rsidRPr="0076773F">
        <w:rPr>
          <w:sz w:val="24"/>
          <w:szCs w:val="24"/>
        </w:rPr>
        <w:t>contrasta</w:t>
      </w:r>
      <w:r w:rsidR="00543EF8">
        <w:rPr>
          <w:sz w:val="24"/>
          <w:szCs w:val="24"/>
        </w:rPr>
        <w:t>re</w:t>
      </w:r>
      <w:r w:rsidRPr="0076773F">
        <w:rPr>
          <w:sz w:val="24"/>
          <w:szCs w:val="24"/>
        </w:rPr>
        <w:t xml:space="preserve"> lo sviluppo delle reti fisiche di raccolta del gioco</w:t>
      </w:r>
      <w:r w:rsidR="00543EF8">
        <w:rPr>
          <w:sz w:val="24"/>
          <w:szCs w:val="24"/>
        </w:rPr>
        <w:t xml:space="preserve"> e, simmetricamente, a contrarre il numero dei luoghi fisici nei quali è possibile acquistare prodotti di gioco</w:t>
      </w:r>
      <w:r w:rsidRPr="0076773F">
        <w:rPr>
          <w:sz w:val="24"/>
          <w:szCs w:val="24"/>
        </w:rPr>
        <w:t>.</w:t>
      </w:r>
    </w:p>
    <w:p w14:paraId="05C09517" w14:textId="77777777" w:rsidR="00543EF8" w:rsidRDefault="00543EF8" w:rsidP="0076773F">
      <w:pPr>
        <w:pStyle w:val="Nessunaspaziatura"/>
        <w:jc w:val="both"/>
        <w:rPr>
          <w:sz w:val="24"/>
          <w:szCs w:val="24"/>
        </w:rPr>
      </w:pPr>
    </w:p>
    <w:p w14:paraId="099EF056" w14:textId="217FC653" w:rsidR="00684C31" w:rsidRDefault="00543EF8" w:rsidP="0076773F">
      <w:pPr>
        <w:pStyle w:val="Nessunaspaziatura"/>
        <w:jc w:val="both"/>
        <w:rPr>
          <w:sz w:val="24"/>
          <w:szCs w:val="24"/>
        </w:rPr>
      </w:pPr>
      <w:r>
        <w:rPr>
          <w:sz w:val="24"/>
          <w:szCs w:val="24"/>
        </w:rPr>
        <w:t>Al riguardo, n</w:t>
      </w:r>
      <w:r w:rsidR="0076773F" w:rsidRPr="0076773F">
        <w:rPr>
          <w:sz w:val="24"/>
          <w:szCs w:val="24"/>
        </w:rPr>
        <w:t>el 2017</w:t>
      </w:r>
      <w:r>
        <w:rPr>
          <w:sz w:val="24"/>
          <w:szCs w:val="24"/>
        </w:rPr>
        <w:t>,</w:t>
      </w:r>
      <w:r w:rsidR="0076773F" w:rsidRPr="0076773F">
        <w:rPr>
          <w:sz w:val="24"/>
          <w:szCs w:val="24"/>
        </w:rPr>
        <w:t xml:space="preserve"> era stata raggiunta una intesa politica (in sede di Conferenza Stato/Regioni/Enti locali) volta a sbloccare la situazione ma l</w:t>
      </w:r>
      <w:r>
        <w:rPr>
          <w:sz w:val="24"/>
          <w:szCs w:val="24"/>
        </w:rPr>
        <w:t xml:space="preserve">a stessa, poi, </w:t>
      </w:r>
      <w:r w:rsidR="0076773F" w:rsidRPr="0076773F">
        <w:rPr>
          <w:sz w:val="24"/>
          <w:szCs w:val="24"/>
        </w:rPr>
        <w:t xml:space="preserve">non ha mai trovato attuazione attraverso apposite </w:t>
      </w:r>
      <w:r>
        <w:rPr>
          <w:sz w:val="24"/>
          <w:szCs w:val="24"/>
        </w:rPr>
        <w:t>fonti normative di rango primario</w:t>
      </w:r>
      <w:r w:rsidR="0076773F" w:rsidRPr="0076773F">
        <w:rPr>
          <w:sz w:val="24"/>
          <w:szCs w:val="24"/>
        </w:rPr>
        <w:t>.</w:t>
      </w:r>
      <w:r>
        <w:rPr>
          <w:sz w:val="24"/>
          <w:szCs w:val="24"/>
        </w:rPr>
        <w:t xml:space="preserve"> E lo stesso </w:t>
      </w:r>
      <w:r w:rsidR="0076773F" w:rsidRPr="0076773F">
        <w:rPr>
          <w:sz w:val="24"/>
          <w:szCs w:val="24"/>
        </w:rPr>
        <w:t xml:space="preserve">Consiglio di Stato, in un suo parere, ha </w:t>
      </w:r>
      <w:r>
        <w:rPr>
          <w:sz w:val="24"/>
          <w:szCs w:val="24"/>
        </w:rPr>
        <w:t xml:space="preserve">avuto modo di esprimere </w:t>
      </w:r>
      <w:r w:rsidR="0076773F" w:rsidRPr="0076773F">
        <w:rPr>
          <w:sz w:val="24"/>
          <w:szCs w:val="24"/>
        </w:rPr>
        <w:t xml:space="preserve">l’avviso che è vano tentare di bandire gare per il rinnovo delle concessioni di raccolta del gioco pubblico in rete fisica senza che prima venga definita ed attuata </w:t>
      </w:r>
      <w:r>
        <w:rPr>
          <w:sz w:val="24"/>
          <w:szCs w:val="24"/>
        </w:rPr>
        <w:t>l’</w:t>
      </w:r>
      <w:r w:rsidR="0076773F" w:rsidRPr="0076773F">
        <w:rPr>
          <w:sz w:val="24"/>
          <w:szCs w:val="24"/>
        </w:rPr>
        <w:t xml:space="preserve">intesa politica su come devono regolarsi – </w:t>
      </w:r>
      <w:r>
        <w:rPr>
          <w:sz w:val="24"/>
          <w:szCs w:val="24"/>
        </w:rPr>
        <w:t>ne</w:t>
      </w:r>
      <w:r w:rsidR="0076773F" w:rsidRPr="0076773F">
        <w:rPr>
          <w:sz w:val="24"/>
          <w:szCs w:val="24"/>
        </w:rPr>
        <w:t>ll’intero territorio nazionale – i limiti di distanze e di orari sopra detti.</w:t>
      </w:r>
    </w:p>
    <w:p w14:paraId="48EF394F" w14:textId="1C765BA6" w:rsidR="0076773F" w:rsidRDefault="0076773F" w:rsidP="0076773F">
      <w:pPr>
        <w:pStyle w:val="Nessunaspaziatura"/>
        <w:jc w:val="both"/>
        <w:rPr>
          <w:sz w:val="24"/>
          <w:szCs w:val="24"/>
        </w:rPr>
      </w:pPr>
    </w:p>
    <w:p w14:paraId="2086E14B" w14:textId="48AD2656" w:rsidR="006C5897" w:rsidRPr="006C5897" w:rsidRDefault="006C5897" w:rsidP="006C5897">
      <w:pPr>
        <w:pStyle w:val="Nessunaspaziatura"/>
        <w:jc w:val="both"/>
        <w:rPr>
          <w:sz w:val="24"/>
          <w:szCs w:val="24"/>
        </w:rPr>
      </w:pPr>
      <w:r>
        <w:rPr>
          <w:sz w:val="24"/>
          <w:szCs w:val="24"/>
        </w:rPr>
        <w:t>In un tale contesto di settore i</w:t>
      </w:r>
      <w:r w:rsidRPr="006C5897">
        <w:rPr>
          <w:sz w:val="24"/>
          <w:szCs w:val="24"/>
        </w:rPr>
        <w:t xml:space="preserve">l Parlamento </w:t>
      </w:r>
      <w:r>
        <w:rPr>
          <w:sz w:val="24"/>
          <w:szCs w:val="24"/>
        </w:rPr>
        <w:t xml:space="preserve">ha </w:t>
      </w:r>
      <w:r w:rsidR="00B13A00">
        <w:rPr>
          <w:sz w:val="24"/>
          <w:szCs w:val="24"/>
        </w:rPr>
        <w:t xml:space="preserve">dunque </w:t>
      </w:r>
      <w:r>
        <w:rPr>
          <w:sz w:val="24"/>
          <w:szCs w:val="24"/>
        </w:rPr>
        <w:t xml:space="preserve">approvato (articolo 15 della legge n. 111 del 2023) </w:t>
      </w:r>
      <w:r w:rsidRPr="006C5897">
        <w:rPr>
          <w:sz w:val="24"/>
          <w:szCs w:val="24"/>
        </w:rPr>
        <w:t>principi e criteri direttivi perché, con appositi decreti delegati, si proceda ad un riordino dell’intero settore secondo le seguenti principali linee direttrici:</w:t>
      </w:r>
    </w:p>
    <w:p w14:paraId="717DC9BE" w14:textId="764622E8" w:rsidR="006C5897" w:rsidRPr="006C5897" w:rsidRDefault="006C5897" w:rsidP="006C5897">
      <w:pPr>
        <w:pStyle w:val="Nessunaspaziatura"/>
        <w:ind w:left="142" w:hanging="142"/>
        <w:jc w:val="both"/>
        <w:rPr>
          <w:sz w:val="24"/>
          <w:szCs w:val="24"/>
        </w:rPr>
      </w:pPr>
      <w:r w:rsidRPr="006C5897">
        <w:rPr>
          <w:sz w:val="24"/>
          <w:szCs w:val="24"/>
        </w:rPr>
        <w:t>- misure tecniche e normative volt</w:t>
      </w:r>
      <w:r>
        <w:rPr>
          <w:sz w:val="24"/>
          <w:szCs w:val="24"/>
        </w:rPr>
        <w:t>e</w:t>
      </w:r>
      <w:r w:rsidRPr="006C5897">
        <w:rPr>
          <w:sz w:val="24"/>
          <w:szCs w:val="24"/>
        </w:rPr>
        <w:t xml:space="preserve"> a garantire la tutela dei soggetti più vulnerabili e a prevenire i disturbi da gioco d’azzardo e il gioco minorile;</w:t>
      </w:r>
    </w:p>
    <w:p w14:paraId="01B17384" w14:textId="207F6EAC" w:rsidR="006C5897" w:rsidRPr="006C5897" w:rsidRDefault="006C5897" w:rsidP="006C5897">
      <w:pPr>
        <w:pStyle w:val="Nessunaspaziatura"/>
        <w:ind w:left="142" w:hanging="142"/>
        <w:jc w:val="both"/>
        <w:rPr>
          <w:sz w:val="24"/>
          <w:szCs w:val="24"/>
        </w:rPr>
      </w:pPr>
      <w:r w:rsidRPr="006C5897">
        <w:rPr>
          <w:sz w:val="24"/>
          <w:szCs w:val="24"/>
        </w:rPr>
        <w:t xml:space="preserve">- concertazione tra lo Stato, le </w:t>
      </w:r>
      <w:r>
        <w:rPr>
          <w:sz w:val="24"/>
          <w:szCs w:val="24"/>
        </w:rPr>
        <w:t>R</w:t>
      </w:r>
      <w:r w:rsidRPr="006C5897">
        <w:rPr>
          <w:sz w:val="24"/>
          <w:szCs w:val="24"/>
        </w:rPr>
        <w:t xml:space="preserve">egioni e gli </w:t>
      </w:r>
      <w:r>
        <w:rPr>
          <w:sz w:val="24"/>
          <w:szCs w:val="24"/>
        </w:rPr>
        <w:t>E</w:t>
      </w:r>
      <w:r w:rsidRPr="006C5897">
        <w:rPr>
          <w:sz w:val="24"/>
          <w:szCs w:val="24"/>
        </w:rPr>
        <w:t>nti locali dei piani di dislocazione territoriale dei luoghi fisici di offerta di gioco. Correlativamente, abilitazione dei concessionari, scelti con gara, ad offrire in quei luoghi i loro prodotti di gioco, così assicurando agli investitori la prevedibilità nel tempo della possibile dislocazione di tali luoghi sul territorio nazionale e una stabilmente predeterminata distanza da luoghi sensibili uniformemente individuati;</w:t>
      </w:r>
    </w:p>
    <w:p w14:paraId="0FA93B3D" w14:textId="77777777" w:rsidR="006C5897" w:rsidRPr="006C5897" w:rsidRDefault="006C5897" w:rsidP="006C5897">
      <w:pPr>
        <w:pStyle w:val="Nessunaspaziatura"/>
        <w:ind w:left="142" w:hanging="142"/>
        <w:jc w:val="both"/>
        <w:rPr>
          <w:sz w:val="24"/>
          <w:szCs w:val="24"/>
        </w:rPr>
      </w:pPr>
      <w:r w:rsidRPr="006C5897">
        <w:rPr>
          <w:sz w:val="24"/>
          <w:szCs w:val="24"/>
        </w:rPr>
        <w:t>- riordino delle reti di raccolta del gioco sia a distanza sia in luoghi fisici;</w:t>
      </w:r>
    </w:p>
    <w:p w14:paraId="6A52540C" w14:textId="77777777" w:rsidR="006C5897" w:rsidRPr="006C5897" w:rsidRDefault="006C5897" w:rsidP="006C5897">
      <w:pPr>
        <w:pStyle w:val="Nessunaspaziatura"/>
        <w:ind w:left="142" w:hanging="142"/>
        <w:jc w:val="both"/>
        <w:rPr>
          <w:sz w:val="24"/>
          <w:szCs w:val="24"/>
        </w:rPr>
      </w:pPr>
      <w:r w:rsidRPr="006C5897">
        <w:rPr>
          <w:sz w:val="24"/>
          <w:szCs w:val="24"/>
        </w:rPr>
        <w:t>- potenziamento del contrasto del gioco illegale e delle infiltrazioni delle organizzazioni criminali nell’offerta di gioco;</w:t>
      </w:r>
    </w:p>
    <w:p w14:paraId="736F4CBD" w14:textId="77777777" w:rsidR="006C5897" w:rsidRPr="006C5897" w:rsidRDefault="006C5897" w:rsidP="006C5897">
      <w:pPr>
        <w:pStyle w:val="Nessunaspaziatura"/>
        <w:ind w:left="142" w:hanging="142"/>
        <w:jc w:val="both"/>
        <w:rPr>
          <w:sz w:val="24"/>
          <w:szCs w:val="24"/>
        </w:rPr>
      </w:pPr>
      <w:r w:rsidRPr="006C5897">
        <w:rPr>
          <w:sz w:val="24"/>
          <w:szCs w:val="24"/>
        </w:rPr>
        <w:t>- trasparenza dei requisiti soggettivi e di onorabilità dei concessionari e (per il gioco in ambienti fisici) dei soggetti che formano le relative filiere di raccolta;</w:t>
      </w:r>
    </w:p>
    <w:p w14:paraId="0FDFDC95" w14:textId="77777777" w:rsidR="006C5897" w:rsidRPr="006C5897" w:rsidRDefault="006C5897" w:rsidP="006C5897">
      <w:pPr>
        <w:pStyle w:val="Nessunaspaziatura"/>
        <w:ind w:left="142" w:hanging="142"/>
        <w:jc w:val="both"/>
        <w:rPr>
          <w:sz w:val="24"/>
          <w:szCs w:val="24"/>
        </w:rPr>
      </w:pPr>
      <w:r w:rsidRPr="006C5897">
        <w:rPr>
          <w:sz w:val="24"/>
          <w:szCs w:val="24"/>
        </w:rPr>
        <w:t>- riordino della disciplina dei prelievi fiscali ed erariali sul gioco, dei relativi accertamenti e controlli, con maggiore efficacia della prevenzione e repressione di fenomeni evasivi o elusivi;</w:t>
      </w:r>
    </w:p>
    <w:p w14:paraId="03A6C1E1" w14:textId="1A1E0597" w:rsidR="0076773F" w:rsidRDefault="006C5897" w:rsidP="006C5897">
      <w:pPr>
        <w:pStyle w:val="Nessunaspaziatura"/>
        <w:ind w:left="142" w:hanging="142"/>
        <w:jc w:val="both"/>
        <w:rPr>
          <w:sz w:val="24"/>
          <w:szCs w:val="24"/>
        </w:rPr>
      </w:pPr>
      <w:r w:rsidRPr="006C5897">
        <w:rPr>
          <w:sz w:val="24"/>
          <w:szCs w:val="24"/>
        </w:rPr>
        <w:t xml:space="preserve">- maggiore rigore, specificità e trasparenza della disciplina in materia di qualificazione degli organismi di certificazione degli apparecchi da intrattenimento e divertimento (c.d. </w:t>
      </w:r>
      <w:r w:rsidRPr="006C5897">
        <w:rPr>
          <w:i/>
          <w:sz w:val="24"/>
          <w:szCs w:val="24"/>
        </w:rPr>
        <w:t>slot machine</w:t>
      </w:r>
      <w:r w:rsidRPr="006C5897">
        <w:rPr>
          <w:sz w:val="24"/>
          <w:szCs w:val="24"/>
        </w:rPr>
        <w:t>).</w:t>
      </w:r>
    </w:p>
    <w:p w14:paraId="5935AC87" w14:textId="7B28ADA7" w:rsidR="0076773F" w:rsidRDefault="0076773F" w:rsidP="0076773F">
      <w:pPr>
        <w:pStyle w:val="Nessunaspaziatura"/>
        <w:jc w:val="both"/>
        <w:rPr>
          <w:sz w:val="24"/>
          <w:szCs w:val="24"/>
        </w:rPr>
      </w:pPr>
    </w:p>
    <w:p w14:paraId="52C5AC56" w14:textId="5FA8B100" w:rsidR="006C5897" w:rsidRPr="006C5897" w:rsidRDefault="006C5897" w:rsidP="006C5897">
      <w:pPr>
        <w:pStyle w:val="Nessunaspaziatura"/>
        <w:jc w:val="both"/>
        <w:rPr>
          <w:sz w:val="24"/>
          <w:szCs w:val="24"/>
        </w:rPr>
      </w:pPr>
      <w:r>
        <w:rPr>
          <w:sz w:val="24"/>
          <w:szCs w:val="24"/>
        </w:rPr>
        <w:t xml:space="preserve">Con il presente </w:t>
      </w:r>
      <w:r w:rsidRPr="006C5897">
        <w:rPr>
          <w:sz w:val="24"/>
          <w:szCs w:val="24"/>
        </w:rPr>
        <w:t xml:space="preserve">schema di </w:t>
      </w:r>
      <w:r>
        <w:rPr>
          <w:sz w:val="24"/>
          <w:szCs w:val="24"/>
        </w:rPr>
        <w:t xml:space="preserve">decreto delegato, in attesa che si realizzino i presupposti (intesa fra Stato, Regioni </w:t>
      </w:r>
      <w:proofErr w:type="gramStart"/>
      <w:r>
        <w:rPr>
          <w:sz w:val="24"/>
          <w:szCs w:val="24"/>
        </w:rPr>
        <w:t>e</w:t>
      </w:r>
      <w:proofErr w:type="gramEnd"/>
      <w:r>
        <w:rPr>
          <w:sz w:val="24"/>
          <w:szCs w:val="24"/>
        </w:rPr>
        <w:t xml:space="preserve"> Enti locali in sede di apposita Conferenza) anche per il riordino del sistema di raccolta del gioco pubblico attraverso reti fisiche, si parte con un riordino della disciplina di settore impostato secondo il tracciato delle seguenti linee:</w:t>
      </w:r>
    </w:p>
    <w:p w14:paraId="047142FA" w14:textId="182256ED" w:rsidR="006C5897" w:rsidRPr="006C5897" w:rsidRDefault="006C5897" w:rsidP="006C5897">
      <w:pPr>
        <w:pStyle w:val="Nessunaspaziatura"/>
        <w:ind w:left="284" w:hanging="284"/>
        <w:jc w:val="both"/>
        <w:rPr>
          <w:sz w:val="24"/>
          <w:szCs w:val="24"/>
        </w:rPr>
      </w:pPr>
      <w:r w:rsidRPr="006C5897">
        <w:rPr>
          <w:sz w:val="24"/>
          <w:szCs w:val="24"/>
        </w:rPr>
        <w:t xml:space="preserve">a) principi e regole generali valevoli sia per il gioco raccolto in reti fisiche sia per quello </w:t>
      </w:r>
      <w:r w:rsidRPr="006C5897">
        <w:rPr>
          <w:sz w:val="24"/>
          <w:szCs w:val="24"/>
        </w:rPr>
        <w:lastRenderedPageBreak/>
        <w:t xml:space="preserve">raccolto </w:t>
      </w:r>
      <w:r>
        <w:rPr>
          <w:sz w:val="24"/>
          <w:szCs w:val="24"/>
        </w:rPr>
        <w:t>a distanza</w:t>
      </w:r>
      <w:r w:rsidRPr="006C5897">
        <w:rPr>
          <w:sz w:val="24"/>
          <w:szCs w:val="24"/>
        </w:rPr>
        <w:t xml:space="preserve"> (Titolo I);</w:t>
      </w:r>
    </w:p>
    <w:p w14:paraId="08231B3C" w14:textId="77777777" w:rsidR="006C5897" w:rsidRPr="006C5897" w:rsidRDefault="006C5897" w:rsidP="00955EE8">
      <w:pPr>
        <w:pStyle w:val="Nessunaspaziatura"/>
        <w:ind w:left="284" w:hanging="284"/>
        <w:jc w:val="both"/>
        <w:rPr>
          <w:sz w:val="24"/>
          <w:szCs w:val="24"/>
        </w:rPr>
      </w:pPr>
      <w:r w:rsidRPr="006C5897">
        <w:rPr>
          <w:sz w:val="24"/>
          <w:szCs w:val="24"/>
        </w:rPr>
        <w:t xml:space="preserve">b) principi e regole valevoli specificamente per il gioco raccolto </w:t>
      </w:r>
      <w:r w:rsidRPr="006C5897">
        <w:rPr>
          <w:i/>
          <w:sz w:val="24"/>
          <w:szCs w:val="24"/>
        </w:rPr>
        <w:t>online</w:t>
      </w:r>
      <w:r w:rsidRPr="006C5897">
        <w:rPr>
          <w:sz w:val="24"/>
          <w:szCs w:val="24"/>
        </w:rPr>
        <w:t>, tra cui (i) requisiti di qualificazione soggettiva e oggettiva degli aspiranti concessionari, (ii) set di regole minime cui devono attenersi i relativi bandi pubblici di selezione, (iii) tracciabilità dei flussi finanziari impiegati nel e per il gioco, (iv) penali convenzionali e pieno rischio d’impresa del concessionario, (v) caratteristiche e regole su punti nodali afferenti la rete di raccolta (Titolo II);</w:t>
      </w:r>
    </w:p>
    <w:p w14:paraId="01B7B713" w14:textId="77777777" w:rsidR="006C5897" w:rsidRDefault="006C5897" w:rsidP="00955EE8">
      <w:pPr>
        <w:pStyle w:val="Nessunaspaziatura"/>
        <w:ind w:left="284" w:hanging="284"/>
        <w:jc w:val="both"/>
        <w:rPr>
          <w:sz w:val="24"/>
          <w:szCs w:val="24"/>
        </w:rPr>
      </w:pPr>
      <w:r w:rsidRPr="006C5897">
        <w:rPr>
          <w:sz w:val="24"/>
          <w:szCs w:val="24"/>
        </w:rPr>
        <w:t xml:space="preserve">c) disposizioni per la tutela del giocatore, in particolare se dedito al gioco </w:t>
      </w:r>
      <w:r w:rsidRPr="006C5897">
        <w:rPr>
          <w:i/>
          <w:sz w:val="24"/>
          <w:szCs w:val="24"/>
        </w:rPr>
        <w:t>online</w:t>
      </w:r>
      <w:r w:rsidRPr="006C5897">
        <w:rPr>
          <w:sz w:val="24"/>
          <w:szCs w:val="24"/>
        </w:rPr>
        <w:t xml:space="preserve"> (Titolo III)</w:t>
      </w:r>
      <w:r>
        <w:rPr>
          <w:sz w:val="24"/>
          <w:szCs w:val="24"/>
        </w:rPr>
        <w:t xml:space="preserve">; </w:t>
      </w:r>
    </w:p>
    <w:p w14:paraId="1619B919" w14:textId="1D1F4A93" w:rsidR="006C5897" w:rsidRPr="006C5897" w:rsidRDefault="006C5897" w:rsidP="00955EE8">
      <w:pPr>
        <w:pStyle w:val="Nessunaspaziatura"/>
        <w:ind w:left="284" w:hanging="284"/>
        <w:jc w:val="both"/>
        <w:rPr>
          <w:sz w:val="24"/>
          <w:szCs w:val="24"/>
        </w:rPr>
      </w:pPr>
      <w:r w:rsidRPr="006C5897">
        <w:rPr>
          <w:sz w:val="24"/>
          <w:szCs w:val="24"/>
        </w:rPr>
        <w:t xml:space="preserve">d) regole specifiche per la gestione dei giochi </w:t>
      </w:r>
      <w:r w:rsidR="00955EE8">
        <w:rPr>
          <w:sz w:val="24"/>
          <w:szCs w:val="24"/>
        </w:rPr>
        <w:t>a distanza</w:t>
      </w:r>
      <w:r w:rsidRPr="006C5897">
        <w:rPr>
          <w:sz w:val="24"/>
          <w:szCs w:val="24"/>
        </w:rPr>
        <w:t xml:space="preserve"> (Titolo IV)</w:t>
      </w:r>
    </w:p>
    <w:p w14:paraId="73DEBFAF" w14:textId="77777777" w:rsidR="006C5897" w:rsidRPr="006C5897" w:rsidRDefault="006C5897" w:rsidP="00955EE8">
      <w:pPr>
        <w:pStyle w:val="Nessunaspaziatura"/>
        <w:ind w:left="284" w:hanging="284"/>
        <w:jc w:val="both"/>
        <w:rPr>
          <w:sz w:val="24"/>
          <w:szCs w:val="24"/>
        </w:rPr>
      </w:pPr>
      <w:r w:rsidRPr="006C5897">
        <w:rPr>
          <w:sz w:val="24"/>
          <w:szCs w:val="24"/>
        </w:rPr>
        <w:t>e) misure di contrasto dell’offerta illegale di gioco (Titolo V);</w:t>
      </w:r>
    </w:p>
    <w:p w14:paraId="629ACE1C" w14:textId="4AB34AB4" w:rsidR="0076773F" w:rsidRPr="00684C31" w:rsidRDefault="006C5897" w:rsidP="00955EE8">
      <w:pPr>
        <w:pStyle w:val="Nessunaspaziatura"/>
        <w:ind w:left="284" w:hanging="284"/>
        <w:jc w:val="both"/>
        <w:rPr>
          <w:sz w:val="24"/>
          <w:szCs w:val="24"/>
        </w:rPr>
      </w:pPr>
      <w:r w:rsidRPr="006C5897">
        <w:rPr>
          <w:sz w:val="24"/>
          <w:szCs w:val="24"/>
        </w:rPr>
        <w:t xml:space="preserve">f) disposizioni transitorie e finali (Titolo VI), tra le quali </w:t>
      </w:r>
      <w:r w:rsidR="00955EE8">
        <w:rPr>
          <w:sz w:val="24"/>
          <w:szCs w:val="24"/>
        </w:rPr>
        <w:t xml:space="preserve">merita evidenziare subito la norma di cui all’articolo </w:t>
      </w:r>
      <w:r w:rsidRPr="006C5897">
        <w:rPr>
          <w:sz w:val="24"/>
          <w:szCs w:val="24"/>
        </w:rPr>
        <w:t>23, co</w:t>
      </w:r>
      <w:r w:rsidR="00955EE8">
        <w:rPr>
          <w:sz w:val="24"/>
          <w:szCs w:val="24"/>
        </w:rPr>
        <w:t>mma</w:t>
      </w:r>
      <w:r w:rsidRPr="006C5897">
        <w:rPr>
          <w:sz w:val="24"/>
          <w:szCs w:val="24"/>
        </w:rPr>
        <w:t xml:space="preserve"> 2</w:t>
      </w:r>
      <w:r w:rsidR="00955EE8">
        <w:rPr>
          <w:sz w:val="24"/>
          <w:szCs w:val="24"/>
        </w:rPr>
        <w:t>, che annuncia un</w:t>
      </w:r>
      <w:r w:rsidRPr="006C5897">
        <w:rPr>
          <w:sz w:val="24"/>
          <w:szCs w:val="24"/>
        </w:rPr>
        <w:t xml:space="preserve"> successivo riordino normativo in materia di rac</w:t>
      </w:r>
      <w:r w:rsidR="00955EE8">
        <w:rPr>
          <w:sz w:val="24"/>
          <w:szCs w:val="24"/>
        </w:rPr>
        <w:t xml:space="preserve">colta del gioco in reti fisiche, da adottare non appena si concluda </w:t>
      </w:r>
      <w:r w:rsidRPr="006C5897">
        <w:rPr>
          <w:sz w:val="24"/>
          <w:szCs w:val="24"/>
        </w:rPr>
        <w:t xml:space="preserve">la ricordata </w:t>
      </w:r>
      <w:r w:rsidR="00955EE8">
        <w:rPr>
          <w:sz w:val="24"/>
          <w:szCs w:val="24"/>
        </w:rPr>
        <w:t xml:space="preserve">previa </w:t>
      </w:r>
      <w:r w:rsidRPr="006C5897">
        <w:rPr>
          <w:sz w:val="24"/>
          <w:szCs w:val="24"/>
        </w:rPr>
        <w:t>intesa politica tra Stato</w:t>
      </w:r>
      <w:r w:rsidR="00955EE8">
        <w:rPr>
          <w:sz w:val="24"/>
          <w:szCs w:val="24"/>
        </w:rPr>
        <w:t xml:space="preserve">, </w:t>
      </w:r>
      <w:r w:rsidRPr="006C5897">
        <w:rPr>
          <w:sz w:val="24"/>
          <w:szCs w:val="24"/>
        </w:rPr>
        <w:t>Regioni</w:t>
      </w:r>
      <w:r w:rsidR="00955EE8">
        <w:rPr>
          <w:sz w:val="24"/>
          <w:szCs w:val="24"/>
        </w:rPr>
        <w:t xml:space="preserve"> </w:t>
      </w:r>
      <w:proofErr w:type="gramStart"/>
      <w:r w:rsidR="00955EE8">
        <w:rPr>
          <w:sz w:val="24"/>
          <w:szCs w:val="24"/>
        </w:rPr>
        <w:t>e</w:t>
      </w:r>
      <w:proofErr w:type="gramEnd"/>
      <w:r w:rsidR="00955EE8">
        <w:rPr>
          <w:sz w:val="24"/>
          <w:szCs w:val="24"/>
        </w:rPr>
        <w:t xml:space="preserve"> </w:t>
      </w:r>
      <w:r w:rsidRPr="006C5897">
        <w:rPr>
          <w:sz w:val="24"/>
          <w:szCs w:val="24"/>
        </w:rPr>
        <w:t>Enti locali) in occasione del quale si procederà anche a un complessivo riordino della fiscalità e delle entrate erariali di settore.</w:t>
      </w:r>
    </w:p>
    <w:p w14:paraId="0C9005C2" w14:textId="6F9A1DEE" w:rsidR="00684C31" w:rsidRDefault="00684C31" w:rsidP="0076773F">
      <w:pPr>
        <w:pStyle w:val="Nessunaspaziatura"/>
        <w:jc w:val="both"/>
        <w:rPr>
          <w:sz w:val="24"/>
          <w:szCs w:val="24"/>
        </w:rPr>
      </w:pPr>
    </w:p>
    <w:p w14:paraId="067B286E" w14:textId="02D536CD" w:rsidR="00955EE8" w:rsidRDefault="00B13A00" w:rsidP="0076773F">
      <w:pPr>
        <w:pStyle w:val="Nessunaspaziatura"/>
        <w:jc w:val="both"/>
        <w:rPr>
          <w:sz w:val="24"/>
          <w:szCs w:val="24"/>
        </w:rPr>
      </w:pPr>
      <w:r w:rsidRPr="00B13A00">
        <w:rPr>
          <w:sz w:val="24"/>
          <w:szCs w:val="24"/>
        </w:rPr>
        <w:t xml:space="preserve">Il testo </w:t>
      </w:r>
      <w:r>
        <w:rPr>
          <w:sz w:val="24"/>
          <w:szCs w:val="24"/>
        </w:rPr>
        <w:t xml:space="preserve">dello schema di decreto delegato </w:t>
      </w:r>
      <w:r w:rsidRPr="00B13A00">
        <w:rPr>
          <w:sz w:val="24"/>
          <w:szCs w:val="24"/>
        </w:rPr>
        <w:t xml:space="preserve">qui proposto, in estrema sintesi, è </w:t>
      </w:r>
      <w:r>
        <w:rPr>
          <w:sz w:val="24"/>
          <w:szCs w:val="24"/>
        </w:rPr>
        <w:t>dunque</w:t>
      </w:r>
      <w:r w:rsidRPr="00B13A00">
        <w:rPr>
          <w:sz w:val="24"/>
          <w:szCs w:val="24"/>
        </w:rPr>
        <w:t xml:space="preserve"> finalizzato a garantire l’evoluzione delle reti di raccolta a distanza dei giochi pubblici garantendo la transizione dall’attuale contesto, che affonda le proprie radici nel 2009 e che già all’epoca rappresentava una sfida innovativa ed ha sicuramente costituito una leva di contrasto alla illegalità</w:t>
      </w:r>
      <w:r w:rsidR="004C628C">
        <w:rPr>
          <w:sz w:val="24"/>
          <w:szCs w:val="24"/>
        </w:rPr>
        <w:t>,</w:t>
      </w:r>
      <w:r w:rsidRPr="00B13A00">
        <w:rPr>
          <w:sz w:val="24"/>
          <w:szCs w:val="24"/>
        </w:rPr>
        <w:t xml:space="preserve"> rafforzando  la proposta di gioco pubblico per attrarre la domanda sui canali leciti, ad un nuovo modello che preserva le citate radici introducendo elementi di novità finalizzati a rendere l’offerta del gioco a distanza ancora più sicura</w:t>
      </w:r>
      <w:r w:rsidR="004C628C">
        <w:rPr>
          <w:sz w:val="24"/>
          <w:szCs w:val="24"/>
        </w:rPr>
        <w:t xml:space="preserve"> ed</w:t>
      </w:r>
      <w:r w:rsidRPr="00B13A00">
        <w:rPr>
          <w:sz w:val="24"/>
          <w:szCs w:val="24"/>
        </w:rPr>
        <w:t xml:space="preserve"> etica.</w:t>
      </w:r>
    </w:p>
    <w:p w14:paraId="207EE6E5" w14:textId="36C8B6A6" w:rsidR="00955EE8" w:rsidRDefault="00955EE8" w:rsidP="0076773F">
      <w:pPr>
        <w:pStyle w:val="Nessunaspaziatura"/>
        <w:jc w:val="both"/>
        <w:rPr>
          <w:sz w:val="24"/>
          <w:szCs w:val="24"/>
        </w:rPr>
      </w:pPr>
    </w:p>
    <w:p w14:paraId="4D13C663" w14:textId="2260A783" w:rsidR="00955EE8" w:rsidRDefault="004C628C" w:rsidP="004C628C">
      <w:pPr>
        <w:pStyle w:val="Nessunaspaziatura"/>
        <w:jc w:val="center"/>
        <w:rPr>
          <w:sz w:val="24"/>
          <w:szCs w:val="24"/>
        </w:rPr>
      </w:pPr>
      <w:r w:rsidRPr="004C628C">
        <w:rPr>
          <w:sz w:val="24"/>
          <w:szCs w:val="24"/>
        </w:rPr>
        <w:t>*</w:t>
      </w:r>
      <w:r>
        <w:rPr>
          <w:sz w:val="24"/>
          <w:szCs w:val="24"/>
        </w:rPr>
        <w:t xml:space="preserve">   </w:t>
      </w:r>
      <w:r w:rsidRPr="004C628C">
        <w:rPr>
          <w:sz w:val="24"/>
          <w:szCs w:val="24"/>
        </w:rPr>
        <w:t>*</w:t>
      </w:r>
      <w:r>
        <w:rPr>
          <w:sz w:val="24"/>
          <w:szCs w:val="24"/>
        </w:rPr>
        <w:t xml:space="preserve">   </w:t>
      </w:r>
      <w:r w:rsidRPr="004C628C">
        <w:rPr>
          <w:sz w:val="24"/>
          <w:szCs w:val="24"/>
        </w:rPr>
        <w:t>*</w:t>
      </w:r>
      <w:r>
        <w:rPr>
          <w:sz w:val="24"/>
          <w:szCs w:val="24"/>
        </w:rPr>
        <w:t xml:space="preserve">   </w:t>
      </w:r>
      <w:r w:rsidRPr="004C628C">
        <w:rPr>
          <w:sz w:val="24"/>
          <w:szCs w:val="24"/>
        </w:rPr>
        <w:t>*</w:t>
      </w:r>
    </w:p>
    <w:p w14:paraId="451E4A6B" w14:textId="77777777" w:rsidR="00E13D31" w:rsidRDefault="00E13D31" w:rsidP="004C628C">
      <w:pPr>
        <w:jc w:val="both"/>
        <w:rPr>
          <w:sz w:val="24"/>
        </w:rPr>
      </w:pPr>
    </w:p>
    <w:p w14:paraId="7E31D200" w14:textId="650327E4" w:rsidR="004C628C" w:rsidRPr="004C628C" w:rsidRDefault="004C628C" w:rsidP="004C628C">
      <w:pPr>
        <w:jc w:val="both"/>
        <w:rPr>
          <w:sz w:val="24"/>
        </w:rPr>
      </w:pPr>
      <w:r>
        <w:rPr>
          <w:sz w:val="24"/>
        </w:rPr>
        <w:t xml:space="preserve">In maggior dettaglio, quanto allo schema di articolato, con </w:t>
      </w:r>
      <w:r w:rsidRPr="004C628C">
        <w:rPr>
          <w:b/>
          <w:sz w:val="24"/>
        </w:rPr>
        <w:t>l’articolo 1</w:t>
      </w:r>
      <w:r>
        <w:rPr>
          <w:sz w:val="24"/>
        </w:rPr>
        <w:t xml:space="preserve"> si dettano (comma 1) </w:t>
      </w:r>
      <w:r w:rsidRPr="004C628C">
        <w:rPr>
          <w:sz w:val="24"/>
        </w:rPr>
        <w:t>regole generali e principi</w:t>
      </w:r>
      <w:r>
        <w:rPr>
          <w:sz w:val="24"/>
        </w:rPr>
        <w:t xml:space="preserve"> valevoli trasversalmente per l’intero settore dei giochi pubblici con vincite in denaro destinate a costituirne </w:t>
      </w:r>
      <w:r w:rsidRPr="004C628C">
        <w:rPr>
          <w:sz w:val="24"/>
        </w:rPr>
        <w:t>il quadro regolatorio di fonte primaria della disciplina dei giochi pubblici ammessi in Italia.</w:t>
      </w:r>
    </w:p>
    <w:p w14:paraId="58524927" w14:textId="3D8FB031" w:rsidR="004C628C" w:rsidRDefault="004C628C" w:rsidP="004C628C">
      <w:pPr>
        <w:jc w:val="both"/>
        <w:rPr>
          <w:sz w:val="24"/>
        </w:rPr>
      </w:pPr>
    </w:p>
    <w:p w14:paraId="67CD4072" w14:textId="73949892" w:rsidR="004C628C" w:rsidRPr="004C628C" w:rsidRDefault="004C628C" w:rsidP="004C628C">
      <w:pPr>
        <w:jc w:val="both"/>
        <w:rPr>
          <w:sz w:val="24"/>
        </w:rPr>
      </w:pPr>
      <w:r>
        <w:rPr>
          <w:sz w:val="24"/>
        </w:rPr>
        <w:t>D’interesse il comma 2 che, in combinazione con un’utile iterazione posta all’articolo 23, comma 2, anticipa che l</w:t>
      </w:r>
      <w:r w:rsidRPr="004C628C">
        <w:rPr>
          <w:sz w:val="24"/>
        </w:rPr>
        <w:t>e disposizioni relative ai giochi pubblici ammessi in Italia raccolti attraverso rete fisica s</w:t>
      </w:r>
      <w:r>
        <w:rPr>
          <w:sz w:val="24"/>
        </w:rPr>
        <w:t>aranno</w:t>
      </w:r>
      <w:r w:rsidRPr="004C628C">
        <w:rPr>
          <w:sz w:val="24"/>
        </w:rPr>
        <w:t xml:space="preserve"> contenute in un successivo decreto legislativo emanato dopo la definizione di una apposita intesa programmatica al riguardo tra Stato, Regioni </w:t>
      </w:r>
      <w:proofErr w:type="gramStart"/>
      <w:r w:rsidRPr="004C628C">
        <w:rPr>
          <w:sz w:val="24"/>
        </w:rPr>
        <w:t>e</w:t>
      </w:r>
      <w:proofErr w:type="gramEnd"/>
      <w:r w:rsidRPr="004C628C">
        <w:rPr>
          <w:sz w:val="24"/>
        </w:rPr>
        <w:t xml:space="preserve"> Enti locali.</w:t>
      </w:r>
    </w:p>
    <w:p w14:paraId="482E491A" w14:textId="77777777" w:rsidR="004C628C" w:rsidRPr="004C628C" w:rsidRDefault="004C628C" w:rsidP="004C628C">
      <w:pPr>
        <w:jc w:val="both"/>
        <w:rPr>
          <w:sz w:val="24"/>
        </w:rPr>
      </w:pPr>
    </w:p>
    <w:p w14:paraId="32B755AB" w14:textId="1F2F3F4D" w:rsidR="004C628C" w:rsidRPr="004C628C" w:rsidRDefault="004C628C" w:rsidP="004C628C">
      <w:pPr>
        <w:jc w:val="both"/>
        <w:rPr>
          <w:sz w:val="24"/>
        </w:rPr>
      </w:pPr>
      <w:r>
        <w:rPr>
          <w:sz w:val="24"/>
        </w:rPr>
        <w:t xml:space="preserve">Di particolare interesse anche il comma </w:t>
      </w:r>
      <w:r w:rsidRPr="004C628C">
        <w:rPr>
          <w:sz w:val="24"/>
        </w:rPr>
        <w:t>3</w:t>
      </w:r>
      <w:r>
        <w:rPr>
          <w:sz w:val="24"/>
        </w:rPr>
        <w:t xml:space="preserve"> col quale opportunamente si precisa che è</w:t>
      </w:r>
      <w:r w:rsidRPr="004C628C">
        <w:rPr>
          <w:sz w:val="24"/>
        </w:rPr>
        <w:t xml:space="preserve"> esclusa dall’ambito applica</w:t>
      </w:r>
      <w:r>
        <w:rPr>
          <w:sz w:val="24"/>
        </w:rPr>
        <w:t>tivo</w:t>
      </w:r>
      <w:r w:rsidRPr="004C628C">
        <w:rPr>
          <w:sz w:val="24"/>
        </w:rPr>
        <w:t xml:space="preserve"> del presente decreto </w:t>
      </w:r>
      <w:r>
        <w:rPr>
          <w:sz w:val="24"/>
        </w:rPr>
        <w:t xml:space="preserve">delegato </w:t>
      </w:r>
      <w:r w:rsidRPr="004C628C">
        <w:rPr>
          <w:sz w:val="24"/>
        </w:rPr>
        <w:t>la disciplina delle case da gioco</w:t>
      </w:r>
      <w:r>
        <w:rPr>
          <w:sz w:val="24"/>
        </w:rPr>
        <w:t>, per le quali nulla è innovato e che</w:t>
      </w:r>
      <w:r w:rsidRPr="004C628C">
        <w:rPr>
          <w:sz w:val="24"/>
        </w:rPr>
        <w:t xml:space="preserve"> resta quella contenuta nelle disposizioni vigenti che le riguardano.</w:t>
      </w:r>
    </w:p>
    <w:p w14:paraId="7271C16B" w14:textId="13F0A4A4" w:rsidR="004C628C" w:rsidRDefault="004C628C" w:rsidP="0073229B">
      <w:pPr>
        <w:jc w:val="both"/>
        <w:rPr>
          <w:sz w:val="24"/>
        </w:rPr>
      </w:pPr>
    </w:p>
    <w:p w14:paraId="7A273609" w14:textId="77777777" w:rsidR="00C5199B" w:rsidRDefault="00C5199B" w:rsidP="0073229B">
      <w:pPr>
        <w:jc w:val="both"/>
        <w:rPr>
          <w:sz w:val="24"/>
        </w:rPr>
      </w:pPr>
      <w:r>
        <w:rPr>
          <w:sz w:val="24"/>
        </w:rPr>
        <w:t>L’</w:t>
      </w:r>
      <w:r w:rsidRPr="00C5199B">
        <w:rPr>
          <w:b/>
          <w:sz w:val="24"/>
        </w:rPr>
        <w:t>articolo 2</w:t>
      </w:r>
      <w:r>
        <w:rPr>
          <w:sz w:val="24"/>
        </w:rPr>
        <w:t xml:space="preserve"> è volto a stabilire un novero di utili definizioni, idonee a rendere più snello e comprensibile il tenore dell’intero articolato.</w:t>
      </w:r>
    </w:p>
    <w:p w14:paraId="1D7C94A9" w14:textId="77777777" w:rsidR="00C5199B" w:rsidRDefault="00C5199B" w:rsidP="0073229B">
      <w:pPr>
        <w:jc w:val="both"/>
        <w:rPr>
          <w:sz w:val="24"/>
        </w:rPr>
      </w:pPr>
    </w:p>
    <w:p w14:paraId="3D04B3F6" w14:textId="40814F41" w:rsidR="00C5199B" w:rsidRPr="001232BC" w:rsidRDefault="00C5199B" w:rsidP="00B66214">
      <w:pPr>
        <w:jc w:val="both"/>
        <w:rPr>
          <w:sz w:val="24"/>
          <w:szCs w:val="24"/>
        </w:rPr>
      </w:pPr>
      <w:r>
        <w:rPr>
          <w:sz w:val="24"/>
        </w:rPr>
        <w:t>L’</w:t>
      </w:r>
      <w:r w:rsidRPr="00C5199B">
        <w:rPr>
          <w:b/>
          <w:sz w:val="24"/>
        </w:rPr>
        <w:t>articolo 3</w:t>
      </w:r>
      <w:r>
        <w:rPr>
          <w:sz w:val="24"/>
        </w:rPr>
        <w:t xml:space="preserve"> enuncia (comma 1) il novero dei principi or</w:t>
      </w:r>
      <w:r w:rsidRPr="001232BC">
        <w:rPr>
          <w:sz w:val="24"/>
          <w:szCs w:val="24"/>
        </w:rPr>
        <w:t xml:space="preserve">dinamentali del gioco </w:t>
      </w:r>
      <w:r>
        <w:rPr>
          <w:sz w:val="24"/>
          <w:szCs w:val="24"/>
        </w:rPr>
        <w:t xml:space="preserve">pubblico </w:t>
      </w:r>
      <w:r w:rsidRPr="001232BC">
        <w:rPr>
          <w:sz w:val="24"/>
          <w:szCs w:val="24"/>
        </w:rPr>
        <w:t>in Italia</w:t>
      </w:r>
      <w:r>
        <w:rPr>
          <w:sz w:val="24"/>
          <w:szCs w:val="24"/>
        </w:rPr>
        <w:t xml:space="preserve">, in coerenza con il </w:t>
      </w:r>
      <w:r w:rsidR="00B66214">
        <w:rPr>
          <w:sz w:val="24"/>
          <w:szCs w:val="24"/>
        </w:rPr>
        <w:t xml:space="preserve">sopra ricordato </w:t>
      </w:r>
      <w:r>
        <w:rPr>
          <w:sz w:val="24"/>
          <w:szCs w:val="24"/>
        </w:rPr>
        <w:t xml:space="preserve">principio fondamentale del nostro ordinamento, secondo il quale </w:t>
      </w:r>
      <w:r w:rsidR="00B66214">
        <w:rPr>
          <w:sz w:val="24"/>
          <w:szCs w:val="24"/>
        </w:rPr>
        <w:t>‘</w:t>
      </w:r>
      <w:r w:rsidR="00B66214" w:rsidRPr="00B66214">
        <w:rPr>
          <w:sz w:val="24"/>
          <w:szCs w:val="24"/>
        </w:rPr>
        <w:t xml:space="preserve">l’organizzazione e l’esercizio di giuochi </w:t>
      </w:r>
      <w:r w:rsidR="00B66214">
        <w:rPr>
          <w:sz w:val="24"/>
          <w:szCs w:val="24"/>
        </w:rPr>
        <w:t>…</w:t>
      </w:r>
      <w:r w:rsidR="00B66214" w:rsidRPr="00B66214">
        <w:rPr>
          <w:sz w:val="24"/>
          <w:szCs w:val="24"/>
        </w:rPr>
        <w:t xml:space="preserve"> sono riservati allo Stato</w:t>
      </w:r>
      <w:r w:rsidR="00B66214">
        <w:rPr>
          <w:sz w:val="24"/>
          <w:szCs w:val="24"/>
        </w:rPr>
        <w:t>’. Secondo una più moderna e aggiornata scala di priorità dei valori degli interessi pubblici coinvolti, si afferma che l</w:t>
      </w:r>
      <w:r w:rsidRPr="001232BC">
        <w:rPr>
          <w:sz w:val="24"/>
          <w:szCs w:val="24"/>
        </w:rPr>
        <w:t>’esercizio del gioco</w:t>
      </w:r>
      <w:r w:rsidRPr="001232BC">
        <w:rPr>
          <w:spacing w:val="-9"/>
          <w:sz w:val="24"/>
          <w:szCs w:val="24"/>
        </w:rPr>
        <w:t xml:space="preserve"> </w:t>
      </w:r>
      <w:r w:rsidRPr="001232BC">
        <w:rPr>
          <w:sz w:val="24"/>
          <w:szCs w:val="24"/>
        </w:rPr>
        <w:t>pubblico</w:t>
      </w:r>
      <w:r w:rsidRPr="001232BC">
        <w:rPr>
          <w:spacing w:val="-9"/>
          <w:sz w:val="24"/>
          <w:szCs w:val="24"/>
        </w:rPr>
        <w:t xml:space="preserve"> </w:t>
      </w:r>
      <w:r w:rsidRPr="001232BC">
        <w:rPr>
          <w:sz w:val="24"/>
          <w:szCs w:val="24"/>
        </w:rPr>
        <w:t>è</w:t>
      </w:r>
      <w:r w:rsidRPr="001232BC">
        <w:rPr>
          <w:spacing w:val="-10"/>
          <w:sz w:val="24"/>
          <w:szCs w:val="24"/>
        </w:rPr>
        <w:t xml:space="preserve"> consentito nel territorio dello Stato</w:t>
      </w:r>
      <w:r w:rsidRPr="001232BC">
        <w:rPr>
          <w:spacing w:val="-9"/>
          <w:sz w:val="24"/>
          <w:szCs w:val="24"/>
        </w:rPr>
        <w:t xml:space="preserve"> </w:t>
      </w:r>
      <w:r w:rsidRPr="001232BC">
        <w:rPr>
          <w:sz w:val="24"/>
          <w:szCs w:val="24"/>
        </w:rPr>
        <w:t>nel</w:t>
      </w:r>
      <w:r w:rsidRPr="001232BC">
        <w:rPr>
          <w:spacing w:val="-8"/>
          <w:sz w:val="24"/>
          <w:szCs w:val="24"/>
        </w:rPr>
        <w:t xml:space="preserve"> </w:t>
      </w:r>
      <w:r w:rsidRPr="001232BC">
        <w:rPr>
          <w:sz w:val="24"/>
          <w:szCs w:val="24"/>
        </w:rPr>
        <w:t>rispetto</w:t>
      </w:r>
      <w:r w:rsidRPr="001232BC">
        <w:rPr>
          <w:spacing w:val="-9"/>
          <w:sz w:val="24"/>
          <w:szCs w:val="24"/>
        </w:rPr>
        <w:t xml:space="preserve"> </w:t>
      </w:r>
      <w:r w:rsidRPr="001232BC">
        <w:rPr>
          <w:sz w:val="24"/>
          <w:szCs w:val="24"/>
        </w:rPr>
        <w:t>dei seguenti principi</w:t>
      </w:r>
      <w:r w:rsidRPr="001232BC">
        <w:rPr>
          <w:spacing w:val="-2"/>
          <w:sz w:val="24"/>
          <w:szCs w:val="24"/>
        </w:rPr>
        <w:t xml:space="preserve"> </w:t>
      </w:r>
      <w:r w:rsidRPr="001232BC">
        <w:rPr>
          <w:sz w:val="24"/>
          <w:szCs w:val="24"/>
        </w:rPr>
        <w:t>fondamentali</w:t>
      </w:r>
      <w:r w:rsidRPr="001232BC">
        <w:rPr>
          <w:spacing w:val="-2"/>
          <w:sz w:val="24"/>
          <w:szCs w:val="24"/>
        </w:rPr>
        <w:t>:</w:t>
      </w:r>
    </w:p>
    <w:p w14:paraId="7878ABD8" w14:textId="77777777" w:rsidR="00C5199B" w:rsidRPr="001232BC" w:rsidRDefault="00C5199B" w:rsidP="00B66214">
      <w:pPr>
        <w:pStyle w:val="Nessunaspaziatura"/>
        <w:ind w:left="284" w:hanging="283"/>
        <w:jc w:val="both"/>
        <w:rPr>
          <w:sz w:val="24"/>
          <w:szCs w:val="24"/>
        </w:rPr>
      </w:pPr>
      <w:r w:rsidRPr="001232BC">
        <w:rPr>
          <w:sz w:val="24"/>
          <w:szCs w:val="24"/>
        </w:rPr>
        <w:lastRenderedPageBreak/>
        <w:t>a) tutela</w:t>
      </w:r>
      <w:r w:rsidRPr="001232BC">
        <w:rPr>
          <w:spacing w:val="-3"/>
          <w:sz w:val="24"/>
          <w:szCs w:val="24"/>
        </w:rPr>
        <w:t xml:space="preserve"> </w:t>
      </w:r>
      <w:r w:rsidRPr="001232BC">
        <w:rPr>
          <w:sz w:val="24"/>
          <w:szCs w:val="24"/>
        </w:rPr>
        <w:t>dei</w:t>
      </w:r>
      <w:r w:rsidRPr="001232BC">
        <w:rPr>
          <w:spacing w:val="-1"/>
          <w:sz w:val="24"/>
          <w:szCs w:val="24"/>
        </w:rPr>
        <w:t xml:space="preserve"> </w:t>
      </w:r>
      <w:r w:rsidRPr="001232BC">
        <w:rPr>
          <w:sz w:val="24"/>
          <w:szCs w:val="24"/>
        </w:rPr>
        <w:t>minori</w:t>
      </w:r>
      <w:r w:rsidRPr="001232BC">
        <w:rPr>
          <w:spacing w:val="-1"/>
          <w:sz w:val="24"/>
          <w:szCs w:val="24"/>
        </w:rPr>
        <w:t xml:space="preserve"> di età;</w:t>
      </w:r>
    </w:p>
    <w:p w14:paraId="4865889C" w14:textId="77777777" w:rsidR="00C5199B" w:rsidRPr="001232BC" w:rsidRDefault="00C5199B" w:rsidP="00B66214">
      <w:pPr>
        <w:pStyle w:val="Nessunaspaziatura"/>
        <w:ind w:left="284" w:hanging="283"/>
        <w:jc w:val="both"/>
        <w:rPr>
          <w:sz w:val="24"/>
          <w:szCs w:val="24"/>
        </w:rPr>
      </w:pPr>
      <w:r w:rsidRPr="001232BC">
        <w:rPr>
          <w:sz w:val="24"/>
          <w:szCs w:val="24"/>
        </w:rPr>
        <w:t>b) legalità del gioco, assicurata attraverso la conformità alla disciplina stabilita dalle norme primarie e secondarie di settore;</w:t>
      </w:r>
    </w:p>
    <w:p w14:paraId="7A36AE59" w14:textId="77777777" w:rsidR="00C5199B" w:rsidRPr="001232BC" w:rsidRDefault="00C5199B" w:rsidP="00B66214">
      <w:pPr>
        <w:pStyle w:val="Nessunaspaziatura"/>
        <w:ind w:left="284" w:hanging="283"/>
        <w:jc w:val="both"/>
        <w:rPr>
          <w:sz w:val="24"/>
          <w:szCs w:val="24"/>
        </w:rPr>
      </w:pPr>
      <w:r w:rsidRPr="001232BC">
        <w:rPr>
          <w:sz w:val="24"/>
          <w:szCs w:val="24"/>
        </w:rPr>
        <w:t>c) sviluppo</w:t>
      </w:r>
      <w:r w:rsidRPr="001232BC">
        <w:rPr>
          <w:spacing w:val="44"/>
          <w:sz w:val="24"/>
          <w:szCs w:val="24"/>
        </w:rPr>
        <w:t xml:space="preserve"> </w:t>
      </w:r>
      <w:r w:rsidRPr="001232BC">
        <w:rPr>
          <w:sz w:val="24"/>
          <w:szCs w:val="24"/>
        </w:rPr>
        <w:t>del</w:t>
      </w:r>
      <w:r w:rsidRPr="001232BC">
        <w:rPr>
          <w:spacing w:val="44"/>
          <w:sz w:val="24"/>
          <w:szCs w:val="24"/>
        </w:rPr>
        <w:t xml:space="preserve"> </w:t>
      </w:r>
      <w:r w:rsidRPr="001232BC">
        <w:rPr>
          <w:sz w:val="24"/>
          <w:szCs w:val="24"/>
        </w:rPr>
        <w:t>gioco</w:t>
      </w:r>
      <w:r w:rsidRPr="001232BC">
        <w:rPr>
          <w:spacing w:val="41"/>
          <w:sz w:val="24"/>
          <w:szCs w:val="24"/>
        </w:rPr>
        <w:t xml:space="preserve"> </w:t>
      </w:r>
      <w:r w:rsidRPr="001232BC">
        <w:rPr>
          <w:sz w:val="24"/>
          <w:szCs w:val="24"/>
        </w:rPr>
        <w:t>sicuro,</w:t>
      </w:r>
      <w:r w:rsidRPr="001232BC">
        <w:rPr>
          <w:spacing w:val="44"/>
          <w:sz w:val="24"/>
          <w:szCs w:val="24"/>
        </w:rPr>
        <w:t xml:space="preserve"> volto </w:t>
      </w:r>
      <w:r w:rsidRPr="001232BC">
        <w:rPr>
          <w:sz w:val="24"/>
          <w:szCs w:val="24"/>
        </w:rPr>
        <w:t>ad</w:t>
      </w:r>
      <w:r w:rsidRPr="001232BC">
        <w:rPr>
          <w:spacing w:val="44"/>
          <w:sz w:val="24"/>
          <w:szCs w:val="24"/>
        </w:rPr>
        <w:t xml:space="preserve"> </w:t>
      </w:r>
      <w:r w:rsidRPr="001232BC">
        <w:rPr>
          <w:sz w:val="24"/>
          <w:szCs w:val="24"/>
        </w:rPr>
        <w:t>assicurare</w:t>
      </w:r>
      <w:r w:rsidRPr="001232BC">
        <w:rPr>
          <w:spacing w:val="45"/>
          <w:sz w:val="24"/>
          <w:szCs w:val="24"/>
        </w:rPr>
        <w:t xml:space="preserve"> </w:t>
      </w:r>
      <w:r w:rsidRPr="001232BC">
        <w:rPr>
          <w:sz w:val="24"/>
          <w:szCs w:val="24"/>
        </w:rPr>
        <w:t>la</w:t>
      </w:r>
      <w:r w:rsidRPr="001232BC">
        <w:rPr>
          <w:spacing w:val="43"/>
          <w:sz w:val="24"/>
          <w:szCs w:val="24"/>
        </w:rPr>
        <w:t xml:space="preserve"> </w:t>
      </w:r>
      <w:r w:rsidRPr="001232BC">
        <w:rPr>
          <w:sz w:val="24"/>
          <w:szCs w:val="24"/>
        </w:rPr>
        <w:t>tutela</w:t>
      </w:r>
      <w:r w:rsidRPr="001232BC">
        <w:rPr>
          <w:spacing w:val="43"/>
          <w:sz w:val="24"/>
          <w:szCs w:val="24"/>
        </w:rPr>
        <w:t xml:space="preserve"> </w:t>
      </w:r>
      <w:r w:rsidRPr="001232BC">
        <w:rPr>
          <w:sz w:val="24"/>
          <w:szCs w:val="24"/>
        </w:rPr>
        <w:t>del</w:t>
      </w:r>
      <w:r w:rsidRPr="001232BC">
        <w:rPr>
          <w:spacing w:val="45"/>
          <w:sz w:val="24"/>
          <w:szCs w:val="24"/>
        </w:rPr>
        <w:t xml:space="preserve"> </w:t>
      </w:r>
      <w:r w:rsidRPr="001232BC">
        <w:rPr>
          <w:spacing w:val="-2"/>
          <w:sz w:val="24"/>
          <w:szCs w:val="24"/>
        </w:rPr>
        <w:t>giocatore, specie se appartenente a fasce deboli, sia dal punto di vista della salute sia da quello de</w:t>
      </w:r>
      <w:r w:rsidRPr="001232BC">
        <w:rPr>
          <w:sz w:val="24"/>
          <w:szCs w:val="24"/>
        </w:rPr>
        <w:t>ll’ordine</w:t>
      </w:r>
      <w:r w:rsidRPr="001232BC">
        <w:rPr>
          <w:spacing w:val="-12"/>
          <w:sz w:val="24"/>
          <w:szCs w:val="24"/>
        </w:rPr>
        <w:t xml:space="preserve"> </w:t>
      </w:r>
      <w:r w:rsidRPr="001232BC">
        <w:rPr>
          <w:sz w:val="24"/>
          <w:szCs w:val="24"/>
        </w:rPr>
        <w:t>pubblico</w:t>
      </w:r>
      <w:r w:rsidRPr="001232BC">
        <w:rPr>
          <w:spacing w:val="-11"/>
          <w:sz w:val="24"/>
          <w:szCs w:val="24"/>
        </w:rPr>
        <w:t xml:space="preserve"> </w:t>
      </w:r>
      <w:r w:rsidRPr="001232BC">
        <w:rPr>
          <w:sz w:val="24"/>
          <w:szCs w:val="24"/>
        </w:rPr>
        <w:t>e della</w:t>
      </w:r>
      <w:r w:rsidRPr="001232BC">
        <w:rPr>
          <w:spacing w:val="-12"/>
          <w:sz w:val="24"/>
          <w:szCs w:val="24"/>
        </w:rPr>
        <w:t xml:space="preserve"> </w:t>
      </w:r>
      <w:r w:rsidRPr="001232BC">
        <w:rPr>
          <w:sz w:val="24"/>
          <w:szCs w:val="24"/>
        </w:rPr>
        <w:t>sicurezza</w:t>
      </w:r>
      <w:r w:rsidRPr="001232BC">
        <w:rPr>
          <w:spacing w:val="-10"/>
          <w:sz w:val="24"/>
          <w:szCs w:val="24"/>
        </w:rPr>
        <w:t xml:space="preserve"> </w:t>
      </w:r>
      <w:r w:rsidRPr="001232BC">
        <w:rPr>
          <w:sz w:val="24"/>
          <w:szCs w:val="24"/>
        </w:rPr>
        <w:t>rispetto</w:t>
      </w:r>
      <w:r w:rsidRPr="001232BC">
        <w:rPr>
          <w:spacing w:val="-11"/>
          <w:sz w:val="24"/>
          <w:szCs w:val="24"/>
        </w:rPr>
        <w:t xml:space="preserve"> </w:t>
      </w:r>
      <w:r w:rsidRPr="001232BC">
        <w:rPr>
          <w:sz w:val="24"/>
          <w:szCs w:val="24"/>
        </w:rPr>
        <w:t>a</w:t>
      </w:r>
      <w:r w:rsidRPr="001232BC">
        <w:rPr>
          <w:spacing w:val="-12"/>
          <w:sz w:val="24"/>
          <w:szCs w:val="24"/>
        </w:rPr>
        <w:t xml:space="preserve"> </w:t>
      </w:r>
      <w:r w:rsidRPr="001232BC">
        <w:rPr>
          <w:sz w:val="24"/>
          <w:szCs w:val="24"/>
        </w:rPr>
        <w:t>fenomeni</w:t>
      </w:r>
      <w:r w:rsidRPr="001232BC">
        <w:rPr>
          <w:spacing w:val="-10"/>
          <w:sz w:val="24"/>
          <w:szCs w:val="24"/>
        </w:rPr>
        <w:t xml:space="preserve"> </w:t>
      </w:r>
      <w:r w:rsidRPr="001232BC">
        <w:rPr>
          <w:spacing w:val="-2"/>
          <w:sz w:val="24"/>
          <w:szCs w:val="24"/>
        </w:rPr>
        <w:t>criminali;</w:t>
      </w:r>
    </w:p>
    <w:p w14:paraId="1ECB78D5" w14:textId="77777777" w:rsidR="00C5199B" w:rsidRPr="001232BC" w:rsidRDefault="00C5199B" w:rsidP="00B66214">
      <w:pPr>
        <w:pStyle w:val="Nessunaspaziatura"/>
        <w:ind w:left="284" w:hanging="283"/>
        <w:jc w:val="both"/>
        <w:rPr>
          <w:sz w:val="24"/>
          <w:szCs w:val="24"/>
        </w:rPr>
      </w:pPr>
      <w:r w:rsidRPr="001232BC">
        <w:rPr>
          <w:sz w:val="24"/>
          <w:szCs w:val="24"/>
        </w:rPr>
        <w:t>d) promozione del gioco responsabile, diretto a evitare forme anomale o distorte delle giocate o comunque suscettibili di generare dipendenza patologica nel giocatore;</w:t>
      </w:r>
    </w:p>
    <w:p w14:paraId="7EE73773" w14:textId="77777777" w:rsidR="00C5199B" w:rsidRPr="001232BC" w:rsidRDefault="00C5199B" w:rsidP="00B66214">
      <w:pPr>
        <w:pStyle w:val="Nessunaspaziatura"/>
        <w:ind w:left="284" w:hanging="283"/>
        <w:jc w:val="both"/>
        <w:rPr>
          <w:sz w:val="24"/>
          <w:szCs w:val="24"/>
        </w:rPr>
      </w:pPr>
      <w:r w:rsidRPr="001232BC">
        <w:rPr>
          <w:sz w:val="24"/>
          <w:szCs w:val="24"/>
        </w:rPr>
        <w:t>e) trasparenza</w:t>
      </w:r>
      <w:r w:rsidRPr="001232BC">
        <w:rPr>
          <w:spacing w:val="-11"/>
          <w:sz w:val="24"/>
          <w:szCs w:val="24"/>
        </w:rPr>
        <w:t xml:space="preserve"> </w:t>
      </w:r>
      <w:r w:rsidRPr="001232BC">
        <w:rPr>
          <w:sz w:val="24"/>
          <w:szCs w:val="24"/>
        </w:rPr>
        <w:t>dell’offerta</w:t>
      </w:r>
      <w:r w:rsidRPr="001232BC">
        <w:rPr>
          <w:spacing w:val="-11"/>
          <w:sz w:val="24"/>
          <w:szCs w:val="24"/>
        </w:rPr>
        <w:t xml:space="preserve"> </w:t>
      </w:r>
      <w:r w:rsidRPr="001232BC">
        <w:rPr>
          <w:sz w:val="24"/>
          <w:szCs w:val="24"/>
        </w:rPr>
        <w:t>di</w:t>
      </w:r>
      <w:r w:rsidRPr="001232BC">
        <w:rPr>
          <w:spacing w:val="-9"/>
          <w:sz w:val="24"/>
          <w:szCs w:val="24"/>
        </w:rPr>
        <w:t xml:space="preserve"> </w:t>
      </w:r>
      <w:r w:rsidRPr="001232BC">
        <w:rPr>
          <w:sz w:val="24"/>
          <w:szCs w:val="24"/>
        </w:rPr>
        <w:t>gioco,</w:t>
      </w:r>
      <w:r w:rsidRPr="001232BC">
        <w:rPr>
          <w:spacing w:val="-11"/>
          <w:sz w:val="24"/>
          <w:szCs w:val="24"/>
        </w:rPr>
        <w:t xml:space="preserve"> </w:t>
      </w:r>
      <w:r w:rsidRPr="001232BC">
        <w:rPr>
          <w:sz w:val="24"/>
          <w:szCs w:val="24"/>
        </w:rPr>
        <w:t>quale</w:t>
      </w:r>
      <w:r w:rsidRPr="001232BC">
        <w:rPr>
          <w:spacing w:val="-11"/>
          <w:sz w:val="24"/>
          <w:szCs w:val="24"/>
        </w:rPr>
        <w:t xml:space="preserve"> </w:t>
      </w:r>
      <w:r w:rsidRPr="001232BC">
        <w:rPr>
          <w:sz w:val="24"/>
          <w:szCs w:val="24"/>
        </w:rPr>
        <w:t>garanzia</w:t>
      </w:r>
      <w:r w:rsidRPr="001232BC">
        <w:rPr>
          <w:spacing w:val="-11"/>
          <w:sz w:val="24"/>
          <w:szCs w:val="24"/>
        </w:rPr>
        <w:t xml:space="preserve"> </w:t>
      </w:r>
      <w:r w:rsidRPr="001232BC">
        <w:rPr>
          <w:sz w:val="24"/>
          <w:szCs w:val="24"/>
        </w:rPr>
        <w:t>della</w:t>
      </w:r>
      <w:r w:rsidRPr="001232BC">
        <w:rPr>
          <w:spacing w:val="-11"/>
          <w:sz w:val="24"/>
          <w:szCs w:val="24"/>
        </w:rPr>
        <w:t xml:space="preserve"> </w:t>
      </w:r>
      <w:r w:rsidRPr="001232BC">
        <w:rPr>
          <w:sz w:val="24"/>
          <w:szCs w:val="24"/>
        </w:rPr>
        <w:t>piena</w:t>
      </w:r>
      <w:r w:rsidRPr="001232BC">
        <w:rPr>
          <w:spacing w:val="-11"/>
          <w:sz w:val="24"/>
          <w:szCs w:val="24"/>
        </w:rPr>
        <w:t xml:space="preserve"> </w:t>
      </w:r>
      <w:r w:rsidRPr="001232BC">
        <w:rPr>
          <w:sz w:val="24"/>
          <w:szCs w:val="24"/>
        </w:rPr>
        <w:t>conoscibilità delle regole e dei meccanismi di gioco;</w:t>
      </w:r>
    </w:p>
    <w:p w14:paraId="07474033" w14:textId="77777777" w:rsidR="00C5199B" w:rsidRPr="001232BC" w:rsidRDefault="00C5199B" w:rsidP="00B66214">
      <w:pPr>
        <w:pStyle w:val="Nessunaspaziatura"/>
        <w:ind w:left="284" w:hanging="283"/>
        <w:jc w:val="both"/>
        <w:rPr>
          <w:sz w:val="24"/>
          <w:szCs w:val="24"/>
        </w:rPr>
      </w:pPr>
      <w:r w:rsidRPr="001232BC">
        <w:rPr>
          <w:sz w:val="24"/>
          <w:szCs w:val="24"/>
        </w:rPr>
        <w:t xml:space="preserve">f) sviluppo delle reti di gioco secondo modelli che assicurano competitività e solidità organizzativa, economica ed </w:t>
      </w:r>
      <w:r w:rsidRPr="001232BC">
        <w:rPr>
          <w:spacing w:val="-2"/>
          <w:sz w:val="24"/>
          <w:szCs w:val="24"/>
        </w:rPr>
        <w:t>efficienza dei soggetti che compongono le relative filiere;</w:t>
      </w:r>
    </w:p>
    <w:p w14:paraId="53769D19" w14:textId="77777777" w:rsidR="00C5199B" w:rsidRPr="001232BC" w:rsidRDefault="00C5199B" w:rsidP="00B66214">
      <w:pPr>
        <w:pStyle w:val="Nessunaspaziatura"/>
        <w:ind w:left="284" w:hanging="283"/>
        <w:jc w:val="both"/>
        <w:rPr>
          <w:sz w:val="24"/>
          <w:szCs w:val="24"/>
        </w:rPr>
      </w:pPr>
      <w:r w:rsidRPr="001232BC">
        <w:rPr>
          <w:sz w:val="24"/>
          <w:szCs w:val="24"/>
        </w:rPr>
        <w:t>g) prevenzione,</w:t>
      </w:r>
      <w:r w:rsidRPr="001232BC">
        <w:rPr>
          <w:spacing w:val="62"/>
          <w:w w:val="150"/>
          <w:sz w:val="24"/>
          <w:szCs w:val="24"/>
        </w:rPr>
        <w:t xml:space="preserve"> </w:t>
      </w:r>
      <w:r w:rsidRPr="001232BC">
        <w:rPr>
          <w:sz w:val="24"/>
          <w:szCs w:val="24"/>
        </w:rPr>
        <w:t>contrasto</w:t>
      </w:r>
      <w:r w:rsidRPr="001232BC">
        <w:rPr>
          <w:spacing w:val="64"/>
          <w:w w:val="150"/>
          <w:sz w:val="24"/>
          <w:szCs w:val="24"/>
        </w:rPr>
        <w:t xml:space="preserve"> </w:t>
      </w:r>
      <w:r w:rsidRPr="001232BC">
        <w:rPr>
          <w:sz w:val="24"/>
          <w:szCs w:val="24"/>
        </w:rPr>
        <w:t>e</w:t>
      </w:r>
      <w:r w:rsidRPr="001232BC">
        <w:rPr>
          <w:spacing w:val="62"/>
          <w:w w:val="150"/>
          <w:sz w:val="24"/>
          <w:szCs w:val="24"/>
        </w:rPr>
        <w:t xml:space="preserve"> </w:t>
      </w:r>
      <w:r w:rsidRPr="001232BC">
        <w:rPr>
          <w:sz w:val="24"/>
          <w:szCs w:val="24"/>
        </w:rPr>
        <w:t>repressione</w:t>
      </w:r>
      <w:r w:rsidRPr="001232BC">
        <w:rPr>
          <w:spacing w:val="63"/>
          <w:w w:val="150"/>
          <w:sz w:val="24"/>
          <w:szCs w:val="24"/>
        </w:rPr>
        <w:t xml:space="preserve"> </w:t>
      </w:r>
      <w:r w:rsidRPr="001232BC">
        <w:rPr>
          <w:sz w:val="24"/>
          <w:szCs w:val="24"/>
        </w:rPr>
        <w:t>del</w:t>
      </w:r>
      <w:r w:rsidRPr="001232BC">
        <w:rPr>
          <w:spacing w:val="64"/>
          <w:w w:val="150"/>
          <w:sz w:val="24"/>
          <w:szCs w:val="24"/>
        </w:rPr>
        <w:t xml:space="preserve"> </w:t>
      </w:r>
      <w:r w:rsidRPr="001232BC">
        <w:rPr>
          <w:sz w:val="24"/>
          <w:szCs w:val="24"/>
        </w:rPr>
        <w:t>gioco</w:t>
      </w:r>
      <w:r w:rsidRPr="001232BC">
        <w:rPr>
          <w:spacing w:val="63"/>
          <w:w w:val="150"/>
          <w:sz w:val="24"/>
          <w:szCs w:val="24"/>
        </w:rPr>
        <w:t xml:space="preserve"> </w:t>
      </w:r>
      <w:r w:rsidRPr="001232BC">
        <w:rPr>
          <w:sz w:val="24"/>
          <w:szCs w:val="24"/>
        </w:rPr>
        <w:t>illegale o comunque non conforme a quello ammesso</w:t>
      </w:r>
      <w:r w:rsidRPr="001232BC">
        <w:rPr>
          <w:spacing w:val="-1"/>
          <w:sz w:val="24"/>
          <w:szCs w:val="24"/>
        </w:rPr>
        <w:t xml:space="preserve"> e regolato </w:t>
      </w:r>
      <w:r w:rsidRPr="001232BC">
        <w:rPr>
          <w:sz w:val="24"/>
          <w:szCs w:val="24"/>
        </w:rPr>
        <w:t xml:space="preserve">in </w:t>
      </w:r>
      <w:r w:rsidRPr="001232BC">
        <w:rPr>
          <w:spacing w:val="-2"/>
          <w:sz w:val="24"/>
          <w:szCs w:val="24"/>
        </w:rPr>
        <w:t xml:space="preserve">Italia, nonché delle attività di </w:t>
      </w:r>
      <w:r w:rsidRPr="001232BC">
        <w:rPr>
          <w:sz w:val="24"/>
          <w:szCs w:val="24"/>
        </w:rPr>
        <w:t>riciclaggio eventualmente connesse alle attività di gioco;</w:t>
      </w:r>
    </w:p>
    <w:p w14:paraId="0875A73F" w14:textId="77777777" w:rsidR="00C5199B" w:rsidRPr="001232BC" w:rsidRDefault="00C5199B" w:rsidP="00B66214">
      <w:pPr>
        <w:pStyle w:val="Nessunaspaziatura"/>
        <w:ind w:left="284" w:hanging="283"/>
        <w:jc w:val="both"/>
        <w:rPr>
          <w:sz w:val="24"/>
          <w:szCs w:val="24"/>
        </w:rPr>
      </w:pPr>
      <w:r w:rsidRPr="001232BC">
        <w:rPr>
          <w:sz w:val="24"/>
          <w:szCs w:val="24"/>
        </w:rPr>
        <w:t>h) tracciabilità dei flussi economici e finanziari delle giocate, al fine di prevenire</w:t>
      </w:r>
      <w:r w:rsidRPr="001232BC">
        <w:rPr>
          <w:spacing w:val="-13"/>
          <w:sz w:val="24"/>
          <w:szCs w:val="24"/>
        </w:rPr>
        <w:t xml:space="preserve"> </w:t>
      </w:r>
      <w:r w:rsidRPr="001232BC">
        <w:rPr>
          <w:sz w:val="24"/>
          <w:szCs w:val="24"/>
        </w:rPr>
        <w:t>e</w:t>
      </w:r>
      <w:r w:rsidRPr="001232BC">
        <w:rPr>
          <w:spacing w:val="-13"/>
          <w:sz w:val="24"/>
          <w:szCs w:val="24"/>
        </w:rPr>
        <w:t xml:space="preserve"> </w:t>
      </w:r>
      <w:r w:rsidRPr="001232BC">
        <w:rPr>
          <w:sz w:val="24"/>
          <w:szCs w:val="24"/>
        </w:rPr>
        <w:t>contenere</w:t>
      </w:r>
      <w:r w:rsidRPr="001232BC">
        <w:rPr>
          <w:spacing w:val="-13"/>
          <w:sz w:val="24"/>
          <w:szCs w:val="24"/>
        </w:rPr>
        <w:t xml:space="preserve"> </w:t>
      </w:r>
      <w:r w:rsidRPr="001232BC">
        <w:rPr>
          <w:sz w:val="24"/>
          <w:szCs w:val="24"/>
        </w:rPr>
        <w:t>ogni</w:t>
      </w:r>
      <w:r w:rsidRPr="001232BC">
        <w:rPr>
          <w:spacing w:val="-11"/>
          <w:sz w:val="24"/>
          <w:szCs w:val="24"/>
        </w:rPr>
        <w:t xml:space="preserve"> </w:t>
      </w:r>
      <w:r w:rsidRPr="001232BC">
        <w:rPr>
          <w:sz w:val="24"/>
          <w:szCs w:val="24"/>
        </w:rPr>
        <w:t>utilizzo</w:t>
      </w:r>
      <w:r w:rsidRPr="001232BC">
        <w:rPr>
          <w:spacing w:val="-12"/>
          <w:sz w:val="24"/>
          <w:szCs w:val="24"/>
        </w:rPr>
        <w:t xml:space="preserve"> </w:t>
      </w:r>
      <w:r w:rsidRPr="001232BC">
        <w:rPr>
          <w:sz w:val="24"/>
          <w:szCs w:val="24"/>
        </w:rPr>
        <w:t>finanziario</w:t>
      </w:r>
      <w:r w:rsidRPr="001232BC">
        <w:rPr>
          <w:spacing w:val="-11"/>
          <w:sz w:val="24"/>
          <w:szCs w:val="24"/>
        </w:rPr>
        <w:t xml:space="preserve"> </w:t>
      </w:r>
      <w:r w:rsidRPr="001232BC">
        <w:rPr>
          <w:sz w:val="24"/>
          <w:szCs w:val="24"/>
        </w:rPr>
        <w:t>non</w:t>
      </w:r>
      <w:r w:rsidRPr="001232BC">
        <w:rPr>
          <w:spacing w:val="-12"/>
          <w:sz w:val="24"/>
          <w:szCs w:val="24"/>
        </w:rPr>
        <w:t xml:space="preserve"> </w:t>
      </w:r>
      <w:r w:rsidRPr="001232BC">
        <w:rPr>
          <w:sz w:val="24"/>
          <w:szCs w:val="24"/>
        </w:rPr>
        <w:t>corretto</w:t>
      </w:r>
      <w:r w:rsidRPr="001232BC">
        <w:rPr>
          <w:spacing w:val="-12"/>
          <w:sz w:val="24"/>
          <w:szCs w:val="24"/>
        </w:rPr>
        <w:t xml:space="preserve"> </w:t>
      </w:r>
      <w:r w:rsidRPr="001232BC">
        <w:rPr>
          <w:sz w:val="24"/>
          <w:szCs w:val="24"/>
        </w:rPr>
        <w:t>delle</w:t>
      </w:r>
      <w:r w:rsidRPr="001232BC">
        <w:rPr>
          <w:spacing w:val="-13"/>
          <w:sz w:val="24"/>
          <w:szCs w:val="24"/>
        </w:rPr>
        <w:t xml:space="preserve"> </w:t>
      </w:r>
      <w:r w:rsidRPr="001232BC">
        <w:rPr>
          <w:sz w:val="24"/>
          <w:szCs w:val="24"/>
        </w:rPr>
        <w:t>attività</w:t>
      </w:r>
      <w:r w:rsidRPr="001232BC">
        <w:rPr>
          <w:spacing w:val="-12"/>
          <w:sz w:val="24"/>
          <w:szCs w:val="24"/>
        </w:rPr>
        <w:t xml:space="preserve"> </w:t>
      </w:r>
      <w:r w:rsidRPr="001232BC">
        <w:rPr>
          <w:sz w:val="24"/>
          <w:szCs w:val="24"/>
        </w:rPr>
        <w:t xml:space="preserve">di </w:t>
      </w:r>
      <w:r w:rsidRPr="001232BC">
        <w:rPr>
          <w:spacing w:val="-2"/>
          <w:sz w:val="24"/>
          <w:szCs w:val="24"/>
        </w:rPr>
        <w:t>gioco;</w:t>
      </w:r>
    </w:p>
    <w:p w14:paraId="249DC33A" w14:textId="77777777" w:rsidR="00C5199B" w:rsidRPr="001232BC" w:rsidRDefault="00C5199B" w:rsidP="00B66214">
      <w:pPr>
        <w:pStyle w:val="Nessunaspaziatura"/>
        <w:ind w:left="284" w:hanging="283"/>
        <w:jc w:val="both"/>
        <w:rPr>
          <w:sz w:val="24"/>
          <w:szCs w:val="24"/>
        </w:rPr>
      </w:pPr>
      <w:r w:rsidRPr="001232BC">
        <w:rPr>
          <w:sz w:val="24"/>
          <w:szCs w:val="24"/>
        </w:rPr>
        <w:t>i) unitarietà</w:t>
      </w:r>
      <w:r w:rsidRPr="001232BC">
        <w:rPr>
          <w:spacing w:val="-2"/>
          <w:sz w:val="24"/>
          <w:szCs w:val="24"/>
        </w:rPr>
        <w:t xml:space="preserve"> </w:t>
      </w:r>
      <w:r w:rsidRPr="001232BC">
        <w:rPr>
          <w:sz w:val="24"/>
          <w:szCs w:val="24"/>
        </w:rPr>
        <w:t>ed</w:t>
      </w:r>
      <w:r w:rsidRPr="001232BC">
        <w:rPr>
          <w:spacing w:val="1"/>
          <w:sz w:val="24"/>
          <w:szCs w:val="24"/>
        </w:rPr>
        <w:t xml:space="preserve"> </w:t>
      </w:r>
      <w:r w:rsidRPr="001232BC">
        <w:rPr>
          <w:sz w:val="24"/>
          <w:szCs w:val="24"/>
        </w:rPr>
        <w:t>uniformità della organizzazione</w:t>
      </w:r>
      <w:r w:rsidRPr="001232BC">
        <w:rPr>
          <w:spacing w:val="1"/>
          <w:sz w:val="24"/>
          <w:szCs w:val="24"/>
        </w:rPr>
        <w:t xml:space="preserve"> </w:t>
      </w:r>
      <w:r w:rsidRPr="001232BC">
        <w:rPr>
          <w:sz w:val="24"/>
          <w:szCs w:val="24"/>
        </w:rPr>
        <w:t>e della gestione della</w:t>
      </w:r>
      <w:r w:rsidRPr="001232BC">
        <w:rPr>
          <w:spacing w:val="2"/>
          <w:sz w:val="24"/>
          <w:szCs w:val="24"/>
        </w:rPr>
        <w:t xml:space="preserve"> </w:t>
      </w:r>
      <w:r w:rsidRPr="001232BC">
        <w:rPr>
          <w:sz w:val="24"/>
          <w:szCs w:val="24"/>
        </w:rPr>
        <w:t>rete</w:t>
      </w:r>
      <w:r w:rsidRPr="001232BC">
        <w:rPr>
          <w:spacing w:val="1"/>
          <w:sz w:val="24"/>
          <w:szCs w:val="24"/>
        </w:rPr>
        <w:t xml:space="preserve"> </w:t>
      </w:r>
      <w:r w:rsidRPr="001232BC">
        <w:rPr>
          <w:spacing w:val="-5"/>
          <w:sz w:val="24"/>
          <w:szCs w:val="24"/>
        </w:rPr>
        <w:t xml:space="preserve">di </w:t>
      </w:r>
      <w:r w:rsidRPr="001232BC">
        <w:rPr>
          <w:sz w:val="24"/>
          <w:szCs w:val="24"/>
        </w:rPr>
        <w:t>offerta</w:t>
      </w:r>
      <w:r w:rsidRPr="001232BC">
        <w:rPr>
          <w:spacing w:val="-4"/>
          <w:sz w:val="24"/>
          <w:szCs w:val="24"/>
        </w:rPr>
        <w:t xml:space="preserve"> </w:t>
      </w:r>
      <w:r w:rsidRPr="001232BC">
        <w:rPr>
          <w:sz w:val="24"/>
          <w:szCs w:val="24"/>
        </w:rPr>
        <w:t>di</w:t>
      </w:r>
      <w:r w:rsidRPr="001232BC">
        <w:rPr>
          <w:spacing w:val="-2"/>
          <w:sz w:val="24"/>
          <w:szCs w:val="24"/>
        </w:rPr>
        <w:t xml:space="preserve"> </w:t>
      </w:r>
      <w:r w:rsidRPr="001232BC">
        <w:rPr>
          <w:sz w:val="24"/>
          <w:szCs w:val="24"/>
        </w:rPr>
        <w:t>gioco</w:t>
      </w:r>
      <w:r w:rsidRPr="001232BC">
        <w:rPr>
          <w:spacing w:val="-2"/>
          <w:sz w:val="24"/>
          <w:szCs w:val="24"/>
        </w:rPr>
        <w:t xml:space="preserve"> </w:t>
      </w:r>
      <w:r w:rsidRPr="001232BC">
        <w:rPr>
          <w:sz w:val="24"/>
          <w:szCs w:val="24"/>
        </w:rPr>
        <w:t>pubblico nell’intero</w:t>
      </w:r>
      <w:r w:rsidRPr="001232BC">
        <w:rPr>
          <w:spacing w:val="-2"/>
          <w:sz w:val="24"/>
          <w:szCs w:val="24"/>
        </w:rPr>
        <w:t xml:space="preserve"> </w:t>
      </w:r>
      <w:r w:rsidRPr="001232BC">
        <w:rPr>
          <w:sz w:val="24"/>
          <w:szCs w:val="24"/>
        </w:rPr>
        <w:t>territorio</w:t>
      </w:r>
      <w:r w:rsidRPr="001232BC">
        <w:rPr>
          <w:spacing w:val="-1"/>
          <w:sz w:val="24"/>
          <w:szCs w:val="24"/>
        </w:rPr>
        <w:t xml:space="preserve"> </w:t>
      </w:r>
      <w:r w:rsidRPr="001232BC">
        <w:rPr>
          <w:spacing w:val="-2"/>
          <w:sz w:val="24"/>
          <w:szCs w:val="24"/>
        </w:rPr>
        <w:t>nazionale;</w:t>
      </w:r>
    </w:p>
    <w:p w14:paraId="53574968" w14:textId="77777777" w:rsidR="00C5199B" w:rsidRPr="001232BC" w:rsidRDefault="00C5199B" w:rsidP="00B66214">
      <w:pPr>
        <w:pStyle w:val="Nessunaspaziatura"/>
        <w:ind w:left="284" w:hanging="283"/>
        <w:jc w:val="both"/>
        <w:rPr>
          <w:sz w:val="24"/>
          <w:szCs w:val="24"/>
        </w:rPr>
      </w:pPr>
      <w:r w:rsidRPr="001232BC">
        <w:rPr>
          <w:spacing w:val="-2"/>
          <w:sz w:val="24"/>
          <w:szCs w:val="24"/>
        </w:rPr>
        <w:t>l) utilizzo</w:t>
      </w:r>
      <w:r w:rsidRPr="001232BC">
        <w:rPr>
          <w:spacing w:val="-5"/>
          <w:sz w:val="24"/>
          <w:szCs w:val="24"/>
        </w:rPr>
        <w:t xml:space="preserve"> </w:t>
      </w:r>
      <w:r w:rsidRPr="001232BC">
        <w:rPr>
          <w:spacing w:val="-2"/>
          <w:sz w:val="24"/>
          <w:szCs w:val="24"/>
        </w:rPr>
        <w:t>della</w:t>
      </w:r>
      <w:r w:rsidRPr="001232BC">
        <w:rPr>
          <w:spacing w:val="-4"/>
          <w:sz w:val="24"/>
          <w:szCs w:val="24"/>
        </w:rPr>
        <w:t xml:space="preserve"> </w:t>
      </w:r>
      <w:r w:rsidRPr="001232BC">
        <w:rPr>
          <w:spacing w:val="-2"/>
          <w:sz w:val="24"/>
          <w:szCs w:val="24"/>
        </w:rPr>
        <w:t>pubblicità</w:t>
      </w:r>
      <w:r w:rsidRPr="001232BC">
        <w:rPr>
          <w:spacing w:val="-7"/>
          <w:sz w:val="24"/>
          <w:szCs w:val="24"/>
        </w:rPr>
        <w:t xml:space="preserve"> </w:t>
      </w:r>
      <w:r w:rsidRPr="001232BC">
        <w:rPr>
          <w:spacing w:val="-2"/>
          <w:sz w:val="24"/>
          <w:szCs w:val="24"/>
        </w:rPr>
        <w:t>del</w:t>
      </w:r>
      <w:r w:rsidRPr="001232BC">
        <w:rPr>
          <w:spacing w:val="-8"/>
          <w:sz w:val="24"/>
          <w:szCs w:val="24"/>
        </w:rPr>
        <w:t xml:space="preserve"> </w:t>
      </w:r>
      <w:r w:rsidRPr="001232BC">
        <w:rPr>
          <w:spacing w:val="-2"/>
          <w:sz w:val="24"/>
          <w:szCs w:val="24"/>
        </w:rPr>
        <w:t>gioco</w:t>
      </w:r>
      <w:r w:rsidRPr="001232BC">
        <w:rPr>
          <w:spacing w:val="-5"/>
          <w:sz w:val="24"/>
          <w:szCs w:val="24"/>
        </w:rPr>
        <w:t xml:space="preserve"> </w:t>
      </w:r>
      <w:r w:rsidRPr="001232BC">
        <w:rPr>
          <w:spacing w:val="-2"/>
          <w:sz w:val="24"/>
          <w:szCs w:val="24"/>
        </w:rPr>
        <w:t>pubblico</w:t>
      </w:r>
      <w:r w:rsidRPr="001232BC">
        <w:rPr>
          <w:spacing w:val="-5"/>
          <w:sz w:val="24"/>
          <w:szCs w:val="24"/>
        </w:rPr>
        <w:t xml:space="preserve"> f</w:t>
      </w:r>
      <w:r w:rsidRPr="001232BC">
        <w:rPr>
          <w:spacing w:val="-2"/>
          <w:sz w:val="24"/>
          <w:szCs w:val="24"/>
        </w:rPr>
        <w:t>unzionale</w:t>
      </w:r>
      <w:r w:rsidRPr="001232BC">
        <w:rPr>
          <w:spacing w:val="-7"/>
          <w:sz w:val="24"/>
          <w:szCs w:val="24"/>
        </w:rPr>
        <w:t xml:space="preserve"> </w:t>
      </w:r>
      <w:r w:rsidRPr="001232BC">
        <w:rPr>
          <w:spacing w:val="-2"/>
          <w:sz w:val="24"/>
          <w:szCs w:val="24"/>
        </w:rPr>
        <w:t>alla</w:t>
      </w:r>
      <w:r w:rsidRPr="001232BC">
        <w:rPr>
          <w:spacing w:val="-7"/>
          <w:sz w:val="24"/>
          <w:szCs w:val="24"/>
        </w:rPr>
        <w:t xml:space="preserve"> </w:t>
      </w:r>
      <w:r w:rsidRPr="001232BC">
        <w:rPr>
          <w:spacing w:val="-2"/>
          <w:sz w:val="24"/>
          <w:szCs w:val="24"/>
        </w:rPr>
        <w:t xml:space="preserve">diffusione </w:t>
      </w:r>
      <w:r w:rsidRPr="001232BC">
        <w:rPr>
          <w:sz w:val="24"/>
          <w:szCs w:val="24"/>
        </w:rPr>
        <w:t>del gioco sicuro e responsabile, comunque coerente con l’esigenza di tutela dei soggetti più vulnerabili.</w:t>
      </w:r>
    </w:p>
    <w:p w14:paraId="56A8039B" w14:textId="77777777" w:rsidR="00C5199B" w:rsidRPr="001232BC" w:rsidRDefault="00C5199B" w:rsidP="00C5199B">
      <w:pPr>
        <w:pStyle w:val="Nessunaspaziatura"/>
        <w:jc w:val="both"/>
        <w:rPr>
          <w:sz w:val="24"/>
          <w:szCs w:val="24"/>
        </w:rPr>
      </w:pPr>
    </w:p>
    <w:p w14:paraId="069F2F92" w14:textId="07A515CF" w:rsidR="00C5199B" w:rsidRPr="001232BC" w:rsidRDefault="00343108" w:rsidP="00343108">
      <w:pPr>
        <w:pStyle w:val="Nessunaspaziatura"/>
        <w:jc w:val="both"/>
        <w:rPr>
          <w:sz w:val="24"/>
          <w:szCs w:val="24"/>
        </w:rPr>
      </w:pPr>
      <w:r>
        <w:rPr>
          <w:sz w:val="24"/>
          <w:szCs w:val="24"/>
        </w:rPr>
        <w:t xml:space="preserve">A fini ermeneutici, poi, il comma 2 stabilisce che detti </w:t>
      </w:r>
      <w:r w:rsidR="00C5199B" w:rsidRPr="001232BC">
        <w:rPr>
          <w:sz w:val="24"/>
          <w:szCs w:val="24"/>
        </w:rPr>
        <w:t>principi</w:t>
      </w:r>
      <w:r w:rsidR="00C5199B" w:rsidRPr="001232BC">
        <w:rPr>
          <w:spacing w:val="-10"/>
          <w:sz w:val="24"/>
          <w:szCs w:val="24"/>
        </w:rPr>
        <w:t xml:space="preserve"> di cui al comma 1 </w:t>
      </w:r>
      <w:r w:rsidR="00C5199B" w:rsidRPr="001232BC">
        <w:rPr>
          <w:sz w:val="24"/>
          <w:szCs w:val="24"/>
        </w:rPr>
        <w:t>valgono</w:t>
      </w:r>
      <w:r w:rsidR="00C5199B" w:rsidRPr="001232BC">
        <w:rPr>
          <w:spacing w:val="-11"/>
          <w:sz w:val="24"/>
          <w:szCs w:val="24"/>
        </w:rPr>
        <w:t xml:space="preserve"> </w:t>
      </w:r>
      <w:r w:rsidR="00C5199B" w:rsidRPr="001232BC">
        <w:rPr>
          <w:sz w:val="24"/>
          <w:szCs w:val="24"/>
        </w:rPr>
        <w:t>quale</w:t>
      </w:r>
      <w:r w:rsidR="00C5199B" w:rsidRPr="001232BC">
        <w:rPr>
          <w:spacing w:val="-9"/>
          <w:sz w:val="24"/>
          <w:szCs w:val="24"/>
        </w:rPr>
        <w:t xml:space="preserve"> </w:t>
      </w:r>
      <w:r w:rsidR="00C5199B" w:rsidRPr="001232BC">
        <w:rPr>
          <w:sz w:val="24"/>
          <w:szCs w:val="24"/>
        </w:rPr>
        <w:t>criterio</w:t>
      </w:r>
      <w:r w:rsidR="00C5199B" w:rsidRPr="001232BC">
        <w:rPr>
          <w:spacing w:val="-11"/>
          <w:sz w:val="24"/>
          <w:szCs w:val="24"/>
        </w:rPr>
        <w:t xml:space="preserve"> </w:t>
      </w:r>
      <w:r w:rsidR="00C5199B" w:rsidRPr="001232BC">
        <w:rPr>
          <w:sz w:val="24"/>
          <w:szCs w:val="24"/>
        </w:rPr>
        <w:t>interpretativo</w:t>
      </w:r>
      <w:r w:rsidR="00C5199B" w:rsidRPr="001232BC">
        <w:rPr>
          <w:spacing w:val="-11"/>
          <w:sz w:val="24"/>
          <w:szCs w:val="24"/>
        </w:rPr>
        <w:t xml:space="preserve"> </w:t>
      </w:r>
      <w:r w:rsidR="00C5199B" w:rsidRPr="001232BC">
        <w:rPr>
          <w:sz w:val="24"/>
          <w:szCs w:val="24"/>
        </w:rPr>
        <w:t>delle</w:t>
      </w:r>
      <w:r w:rsidR="00C5199B" w:rsidRPr="001232BC">
        <w:rPr>
          <w:spacing w:val="-10"/>
          <w:sz w:val="24"/>
          <w:szCs w:val="24"/>
        </w:rPr>
        <w:t xml:space="preserve"> </w:t>
      </w:r>
      <w:r w:rsidR="00C5199B" w:rsidRPr="001232BC">
        <w:rPr>
          <w:spacing w:val="-2"/>
          <w:sz w:val="24"/>
          <w:szCs w:val="24"/>
        </w:rPr>
        <w:t xml:space="preserve">norme in materia di gioco pubblico </w:t>
      </w:r>
      <w:r w:rsidR="00C5199B" w:rsidRPr="001232BC">
        <w:rPr>
          <w:sz w:val="24"/>
          <w:szCs w:val="24"/>
        </w:rPr>
        <w:t>stabilite</w:t>
      </w:r>
      <w:r w:rsidR="00C5199B" w:rsidRPr="001232BC">
        <w:rPr>
          <w:spacing w:val="-2"/>
          <w:sz w:val="24"/>
          <w:szCs w:val="24"/>
        </w:rPr>
        <w:t xml:space="preserve"> </w:t>
      </w:r>
      <w:r w:rsidR="00C5199B" w:rsidRPr="001232BC">
        <w:rPr>
          <w:sz w:val="24"/>
          <w:szCs w:val="24"/>
        </w:rPr>
        <w:t>dall’ordinamento</w:t>
      </w:r>
      <w:r w:rsidR="00C5199B" w:rsidRPr="001232BC">
        <w:rPr>
          <w:spacing w:val="-2"/>
          <w:sz w:val="24"/>
          <w:szCs w:val="24"/>
        </w:rPr>
        <w:t xml:space="preserve"> nazionale.</w:t>
      </w:r>
    </w:p>
    <w:p w14:paraId="14155363" w14:textId="1D4EEDAA" w:rsidR="00C5199B" w:rsidRDefault="00C5199B" w:rsidP="0073229B">
      <w:pPr>
        <w:jc w:val="both"/>
        <w:rPr>
          <w:sz w:val="24"/>
        </w:rPr>
      </w:pPr>
    </w:p>
    <w:p w14:paraId="6B3FAD7F" w14:textId="2FAC15D2" w:rsidR="00343108" w:rsidRPr="00343108" w:rsidRDefault="00343108" w:rsidP="00343108">
      <w:pPr>
        <w:jc w:val="both"/>
        <w:rPr>
          <w:sz w:val="24"/>
        </w:rPr>
      </w:pPr>
      <w:r>
        <w:rPr>
          <w:sz w:val="24"/>
        </w:rPr>
        <w:t xml:space="preserve">Alla luce poi di orientamenti ispirati anche dai principi </w:t>
      </w:r>
      <w:proofErr w:type="spellStart"/>
      <w:r>
        <w:rPr>
          <w:sz w:val="24"/>
        </w:rPr>
        <w:t>unionali</w:t>
      </w:r>
      <w:proofErr w:type="spellEnd"/>
      <w:r>
        <w:rPr>
          <w:sz w:val="24"/>
        </w:rPr>
        <w:t xml:space="preserve"> in materia di pubblici contratti e concessioni, l’</w:t>
      </w:r>
      <w:r w:rsidRPr="00343108">
        <w:rPr>
          <w:b/>
          <w:sz w:val="24"/>
        </w:rPr>
        <w:t>articolo 4</w:t>
      </w:r>
      <w:r>
        <w:rPr>
          <w:sz w:val="24"/>
        </w:rPr>
        <w:t xml:space="preserve"> enuncia p</w:t>
      </w:r>
      <w:r w:rsidRPr="00343108">
        <w:rPr>
          <w:sz w:val="24"/>
        </w:rPr>
        <w:t xml:space="preserve">rincipi </w:t>
      </w:r>
      <w:r>
        <w:rPr>
          <w:sz w:val="24"/>
        </w:rPr>
        <w:t xml:space="preserve">di stampo </w:t>
      </w:r>
      <w:r w:rsidRPr="00343108">
        <w:rPr>
          <w:sz w:val="24"/>
        </w:rPr>
        <w:t>europe</w:t>
      </w:r>
      <w:r>
        <w:rPr>
          <w:sz w:val="24"/>
        </w:rPr>
        <w:t xml:space="preserve">o idonei a valere </w:t>
      </w:r>
      <w:r w:rsidRPr="00343108">
        <w:rPr>
          <w:sz w:val="24"/>
        </w:rPr>
        <w:t>in materia di gioco</w:t>
      </w:r>
      <w:r>
        <w:rPr>
          <w:sz w:val="24"/>
        </w:rPr>
        <w:t xml:space="preserve"> pubblico, ossia che:</w:t>
      </w:r>
    </w:p>
    <w:p w14:paraId="0159DBB8" w14:textId="0B6A3E9B" w:rsidR="00343108" w:rsidRPr="00343108" w:rsidRDefault="00343108" w:rsidP="00343108">
      <w:pPr>
        <w:ind w:left="142" w:hanging="142"/>
        <w:jc w:val="both"/>
        <w:rPr>
          <w:sz w:val="24"/>
        </w:rPr>
      </w:pPr>
      <w:r>
        <w:rPr>
          <w:sz w:val="24"/>
        </w:rPr>
        <w:t>- i</w:t>
      </w:r>
      <w:r w:rsidRPr="00343108">
        <w:rPr>
          <w:sz w:val="24"/>
        </w:rPr>
        <w:t>l gioco ammesso in Italia deve rispettare i principi emergenti dell’ordinamento europeo</w:t>
      </w:r>
      <w:r>
        <w:rPr>
          <w:sz w:val="24"/>
        </w:rPr>
        <w:t>, specie quello per cui l</w:t>
      </w:r>
      <w:r w:rsidRPr="00343108">
        <w:rPr>
          <w:sz w:val="24"/>
        </w:rPr>
        <w:t xml:space="preserve">’esercizio del gioco </w:t>
      </w:r>
      <w:r>
        <w:rPr>
          <w:sz w:val="24"/>
        </w:rPr>
        <w:t xml:space="preserve">deve conformarsi </w:t>
      </w:r>
      <w:r w:rsidRPr="00343108">
        <w:rPr>
          <w:sz w:val="24"/>
        </w:rPr>
        <w:t>al principio della libera concorrenza sul mercato comune, al principio di non discriminazione e alle libertà stabilite d</w:t>
      </w:r>
      <w:r>
        <w:rPr>
          <w:sz w:val="24"/>
        </w:rPr>
        <w:t>ai Trattati dell’Unione europea;</w:t>
      </w:r>
    </w:p>
    <w:p w14:paraId="3E23DEEB" w14:textId="4FBBFBB7" w:rsidR="00343108" w:rsidRDefault="00343108" w:rsidP="00343108">
      <w:pPr>
        <w:ind w:left="142" w:hanging="142"/>
        <w:jc w:val="both"/>
        <w:rPr>
          <w:sz w:val="24"/>
        </w:rPr>
      </w:pPr>
      <w:r>
        <w:rPr>
          <w:sz w:val="24"/>
        </w:rPr>
        <w:t>- l</w:t>
      </w:r>
      <w:r w:rsidRPr="00343108">
        <w:rPr>
          <w:sz w:val="24"/>
        </w:rPr>
        <w:t xml:space="preserve">a limitazione delle libertà stabilite dai Trattati dell’Unione è ammessa per </w:t>
      </w:r>
      <w:r>
        <w:rPr>
          <w:sz w:val="24"/>
        </w:rPr>
        <w:t xml:space="preserve">tutelare </w:t>
      </w:r>
      <w:r w:rsidRPr="00343108">
        <w:rPr>
          <w:sz w:val="24"/>
        </w:rPr>
        <w:t>i valori fondamentali dell’ordinamento nazionale della protezione della salute del giocatore, dell’or</w:t>
      </w:r>
      <w:r>
        <w:rPr>
          <w:sz w:val="24"/>
        </w:rPr>
        <w:t>dine pubblico e della sicurezza;</w:t>
      </w:r>
    </w:p>
    <w:p w14:paraId="07090E4F" w14:textId="0AF326D3" w:rsidR="00343108" w:rsidRPr="00343108" w:rsidRDefault="00343108" w:rsidP="00343108">
      <w:pPr>
        <w:ind w:left="142" w:hanging="142"/>
        <w:jc w:val="both"/>
        <w:rPr>
          <w:sz w:val="24"/>
        </w:rPr>
      </w:pPr>
      <w:r>
        <w:rPr>
          <w:sz w:val="24"/>
        </w:rPr>
        <w:t>- i</w:t>
      </w:r>
      <w:r w:rsidRPr="00343108">
        <w:rPr>
          <w:sz w:val="24"/>
        </w:rPr>
        <w:t xml:space="preserve"> requisiti richiesti per l’affidamento della concessione e i </w:t>
      </w:r>
      <w:r>
        <w:rPr>
          <w:sz w:val="24"/>
        </w:rPr>
        <w:t xml:space="preserve">conseguenti </w:t>
      </w:r>
      <w:r w:rsidRPr="00343108">
        <w:rPr>
          <w:sz w:val="24"/>
        </w:rPr>
        <w:t xml:space="preserve">impegni </w:t>
      </w:r>
      <w:r>
        <w:rPr>
          <w:sz w:val="24"/>
        </w:rPr>
        <w:t>de</w:t>
      </w:r>
      <w:r w:rsidRPr="00343108">
        <w:rPr>
          <w:sz w:val="24"/>
        </w:rPr>
        <w:t>l concessionario sono determinati facendo riferimento alla effettiva protezione della salute del giocatore, nonché alla effettiva tutela dell’or</w:t>
      </w:r>
      <w:r>
        <w:rPr>
          <w:sz w:val="24"/>
        </w:rPr>
        <w:t>dine pubblico e della sicurezza.</w:t>
      </w:r>
    </w:p>
    <w:p w14:paraId="017695B1" w14:textId="52C963FF" w:rsidR="00343108" w:rsidRDefault="00343108" w:rsidP="00343108">
      <w:pPr>
        <w:jc w:val="both"/>
        <w:rPr>
          <w:sz w:val="24"/>
        </w:rPr>
      </w:pPr>
    </w:p>
    <w:p w14:paraId="66367438" w14:textId="733FF934" w:rsidR="00891F02" w:rsidRDefault="00343108" w:rsidP="00891F02">
      <w:pPr>
        <w:jc w:val="both"/>
        <w:rPr>
          <w:sz w:val="24"/>
        </w:rPr>
      </w:pPr>
      <w:r>
        <w:rPr>
          <w:sz w:val="24"/>
        </w:rPr>
        <w:t xml:space="preserve">Degno di segnalazione è il principio di cui al comma 4 in tema di </w:t>
      </w:r>
      <w:r w:rsidRPr="00343108">
        <w:rPr>
          <w:sz w:val="24"/>
        </w:rPr>
        <w:t>tutela dell’affidamento e della buona fede nei rapporti tra concessionario e giocatore e nei rapporti tra concessionario e pubblica amministrazione</w:t>
      </w:r>
      <w:r w:rsidR="00891F02">
        <w:rPr>
          <w:sz w:val="24"/>
        </w:rPr>
        <w:t xml:space="preserve">. A tale ultimo riguardo va segnalata l’analogia con le situazioni giuridiche regolate dal decreto legislativo </w:t>
      </w:r>
      <w:r w:rsidR="00891F02" w:rsidRPr="00891F02">
        <w:rPr>
          <w:sz w:val="24"/>
        </w:rPr>
        <w:t>31</w:t>
      </w:r>
      <w:r w:rsidR="00891F02">
        <w:rPr>
          <w:sz w:val="24"/>
        </w:rPr>
        <w:t xml:space="preserve"> marzo </w:t>
      </w:r>
      <w:r w:rsidR="00891F02" w:rsidRPr="00891F02">
        <w:rPr>
          <w:sz w:val="24"/>
        </w:rPr>
        <w:t>2023, n. 36</w:t>
      </w:r>
      <w:r w:rsidR="00891F02">
        <w:rPr>
          <w:sz w:val="24"/>
        </w:rPr>
        <w:t>, recante il c</w:t>
      </w:r>
      <w:r w:rsidR="00891F02" w:rsidRPr="00891F02">
        <w:rPr>
          <w:sz w:val="24"/>
        </w:rPr>
        <w:t>odice dei contratti pubblici</w:t>
      </w:r>
      <w:r w:rsidR="00891F02">
        <w:rPr>
          <w:sz w:val="24"/>
        </w:rPr>
        <w:t xml:space="preserve">, e, in particolare, </w:t>
      </w:r>
      <w:r w:rsidR="00E84215">
        <w:rPr>
          <w:sz w:val="24"/>
        </w:rPr>
        <w:t>da</w:t>
      </w:r>
      <w:r w:rsidR="00891F02">
        <w:rPr>
          <w:sz w:val="24"/>
        </w:rPr>
        <w:t>l suo articolo 9, recante il p</w:t>
      </w:r>
      <w:r w:rsidR="00891F02" w:rsidRPr="00891F02">
        <w:rPr>
          <w:sz w:val="24"/>
        </w:rPr>
        <w:t>rincipio di conservazione dell</w:t>
      </w:r>
      <w:r w:rsidR="00891F02">
        <w:rPr>
          <w:sz w:val="24"/>
        </w:rPr>
        <w:t>’</w:t>
      </w:r>
      <w:r w:rsidR="00891F02" w:rsidRPr="00891F02">
        <w:rPr>
          <w:sz w:val="24"/>
        </w:rPr>
        <w:t>equilibrio contrattuale</w:t>
      </w:r>
      <w:r w:rsidR="00891F02">
        <w:rPr>
          <w:sz w:val="24"/>
        </w:rPr>
        <w:t>.</w:t>
      </w:r>
    </w:p>
    <w:p w14:paraId="3B7EE4C8" w14:textId="6B43482C" w:rsidR="00891F02" w:rsidRDefault="00891F02" w:rsidP="00891F02">
      <w:pPr>
        <w:jc w:val="both"/>
        <w:rPr>
          <w:sz w:val="24"/>
        </w:rPr>
      </w:pPr>
    </w:p>
    <w:p w14:paraId="7800645A" w14:textId="7A38EC33" w:rsidR="00C5199B" w:rsidRDefault="00E84215" w:rsidP="00343108">
      <w:pPr>
        <w:jc w:val="both"/>
        <w:rPr>
          <w:sz w:val="24"/>
        </w:rPr>
      </w:pPr>
      <w:r>
        <w:rPr>
          <w:sz w:val="24"/>
        </w:rPr>
        <w:t xml:space="preserve">A fini ermeneutici, poi, il comma 5 stabilisce che i </w:t>
      </w:r>
      <w:r w:rsidR="00343108" w:rsidRPr="00343108">
        <w:rPr>
          <w:sz w:val="24"/>
        </w:rPr>
        <w:t xml:space="preserve">principi europei valgono quale criterio interpretativo preferenziale delle norme applicabili al gioco in Italia cosicché l’interpretazione </w:t>
      </w:r>
      <w:r w:rsidR="00343108" w:rsidRPr="00343108">
        <w:rPr>
          <w:sz w:val="24"/>
        </w:rPr>
        <w:lastRenderedPageBreak/>
        <w:t>conforme a tali principi prevale rispetto ad altre possibili interpretazioni.</w:t>
      </w:r>
    </w:p>
    <w:p w14:paraId="6DDEA1C6" w14:textId="1A27EAC9" w:rsidR="00343108" w:rsidRDefault="00343108" w:rsidP="0073229B">
      <w:pPr>
        <w:jc w:val="both"/>
        <w:rPr>
          <w:sz w:val="24"/>
        </w:rPr>
      </w:pPr>
    </w:p>
    <w:p w14:paraId="76DD62F5" w14:textId="4DEE041B" w:rsidR="00E84215" w:rsidRPr="00E84215" w:rsidRDefault="00E84215" w:rsidP="00E84215">
      <w:pPr>
        <w:jc w:val="both"/>
        <w:rPr>
          <w:sz w:val="24"/>
        </w:rPr>
      </w:pPr>
      <w:r>
        <w:rPr>
          <w:sz w:val="24"/>
        </w:rPr>
        <w:t>L’</w:t>
      </w:r>
      <w:r w:rsidRPr="00E84215">
        <w:rPr>
          <w:b/>
          <w:sz w:val="24"/>
        </w:rPr>
        <w:t>articolo 5</w:t>
      </w:r>
      <w:r>
        <w:rPr>
          <w:sz w:val="24"/>
        </w:rPr>
        <w:t>, in tema di f</w:t>
      </w:r>
      <w:r w:rsidRPr="00E84215">
        <w:rPr>
          <w:sz w:val="24"/>
        </w:rPr>
        <w:t>onti della</w:t>
      </w:r>
      <w:r>
        <w:rPr>
          <w:sz w:val="24"/>
        </w:rPr>
        <w:t xml:space="preserve"> disciplina del gioco in Italia, vale a porre una più chiara e trasparente gerarchia delle fonti di produzione della </w:t>
      </w:r>
      <w:r w:rsidRPr="00E84215">
        <w:rPr>
          <w:sz w:val="24"/>
        </w:rPr>
        <w:t>disciplina dei giochi pubblici ammessi in Italia</w:t>
      </w:r>
      <w:r>
        <w:rPr>
          <w:sz w:val="24"/>
        </w:rPr>
        <w:t>, così ordinandole</w:t>
      </w:r>
      <w:r w:rsidRPr="00E84215">
        <w:rPr>
          <w:sz w:val="24"/>
        </w:rPr>
        <w:t>:</w:t>
      </w:r>
    </w:p>
    <w:p w14:paraId="262A3748" w14:textId="77777777" w:rsidR="00E84215" w:rsidRPr="00E84215" w:rsidRDefault="00E84215" w:rsidP="00E84215">
      <w:pPr>
        <w:ind w:left="284" w:hanging="284"/>
        <w:jc w:val="both"/>
        <w:rPr>
          <w:sz w:val="24"/>
        </w:rPr>
      </w:pPr>
      <w:r w:rsidRPr="00E84215">
        <w:rPr>
          <w:sz w:val="24"/>
        </w:rPr>
        <w:t>a) fonti normative dell’Unione europea, per quanto di competenza;</w:t>
      </w:r>
    </w:p>
    <w:p w14:paraId="3C979CBF" w14:textId="77777777" w:rsidR="00E84215" w:rsidRPr="00E84215" w:rsidRDefault="00E84215" w:rsidP="00E84215">
      <w:pPr>
        <w:ind w:left="284" w:hanging="284"/>
        <w:jc w:val="both"/>
        <w:rPr>
          <w:sz w:val="24"/>
        </w:rPr>
      </w:pPr>
      <w:r w:rsidRPr="00E84215">
        <w:rPr>
          <w:sz w:val="24"/>
        </w:rPr>
        <w:t>b) la legge, incluso il presente decreto che costituisce il quadro regolatorio nazionale di carattere primario, assumendo il connotato di legge fondamentale della materia;</w:t>
      </w:r>
    </w:p>
    <w:p w14:paraId="1F653231" w14:textId="4B27FDDE" w:rsidR="00E84215" w:rsidRPr="00E84215" w:rsidRDefault="00E84215" w:rsidP="00E84215">
      <w:pPr>
        <w:ind w:left="284" w:hanging="284"/>
        <w:jc w:val="both"/>
        <w:rPr>
          <w:sz w:val="24"/>
        </w:rPr>
      </w:pPr>
      <w:r w:rsidRPr="00E84215">
        <w:rPr>
          <w:sz w:val="24"/>
        </w:rPr>
        <w:t>c) il regolamento</w:t>
      </w:r>
      <w:r>
        <w:rPr>
          <w:sz w:val="24"/>
        </w:rPr>
        <w:t>, come individuato nella norma sulle definizioni</w:t>
      </w:r>
      <w:r w:rsidRPr="00E84215">
        <w:rPr>
          <w:sz w:val="24"/>
        </w:rPr>
        <w:t>;</w:t>
      </w:r>
    </w:p>
    <w:p w14:paraId="0866DADE" w14:textId="6E3C51D7" w:rsidR="00343108" w:rsidRDefault="00E84215" w:rsidP="00E84215">
      <w:pPr>
        <w:ind w:left="284" w:hanging="284"/>
        <w:jc w:val="both"/>
        <w:rPr>
          <w:sz w:val="24"/>
        </w:rPr>
      </w:pPr>
      <w:r w:rsidRPr="00E84215">
        <w:rPr>
          <w:sz w:val="24"/>
        </w:rPr>
        <w:t>d) il decreto del Ministro</w:t>
      </w:r>
      <w:r>
        <w:rPr>
          <w:sz w:val="24"/>
        </w:rPr>
        <w:t xml:space="preserve"> dell’economia e delle finanze</w:t>
      </w:r>
      <w:r w:rsidRPr="00E84215">
        <w:rPr>
          <w:sz w:val="24"/>
        </w:rPr>
        <w:t xml:space="preserve"> ovvero il provvedimento del Direttore dell’Agenzia</w:t>
      </w:r>
      <w:r>
        <w:rPr>
          <w:sz w:val="24"/>
        </w:rPr>
        <w:t xml:space="preserve"> delle dogane e dei monopoli</w:t>
      </w:r>
      <w:r w:rsidR="007712AC">
        <w:rPr>
          <w:sz w:val="24"/>
        </w:rPr>
        <w:t xml:space="preserve"> (di seguito ‘ADM’)</w:t>
      </w:r>
      <w:r w:rsidRPr="00E84215">
        <w:rPr>
          <w:sz w:val="24"/>
        </w:rPr>
        <w:t>, se previsti dalla legge e dal regolamento.</w:t>
      </w:r>
    </w:p>
    <w:p w14:paraId="371FE89F" w14:textId="0F97532A" w:rsidR="00343108" w:rsidRDefault="00343108" w:rsidP="0073229B">
      <w:pPr>
        <w:jc w:val="both"/>
        <w:rPr>
          <w:sz w:val="24"/>
        </w:rPr>
      </w:pPr>
    </w:p>
    <w:p w14:paraId="0AC68307" w14:textId="77777777" w:rsidR="007712AC" w:rsidRDefault="00E84215" w:rsidP="00E84215">
      <w:pPr>
        <w:jc w:val="both"/>
        <w:rPr>
          <w:sz w:val="24"/>
        </w:rPr>
      </w:pPr>
      <w:r>
        <w:rPr>
          <w:sz w:val="24"/>
        </w:rPr>
        <w:t>Il Ti</w:t>
      </w:r>
      <w:r w:rsidRPr="00E84215">
        <w:rPr>
          <w:sz w:val="24"/>
        </w:rPr>
        <w:t xml:space="preserve">tolo </w:t>
      </w:r>
      <w:r>
        <w:rPr>
          <w:sz w:val="24"/>
        </w:rPr>
        <w:t xml:space="preserve">II, dedicato al </w:t>
      </w:r>
      <w:r w:rsidRPr="00E84215">
        <w:rPr>
          <w:sz w:val="24"/>
        </w:rPr>
        <w:t>rapporto concessorio per i giochi a distanza</w:t>
      </w:r>
      <w:r>
        <w:rPr>
          <w:sz w:val="24"/>
        </w:rPr>
        <w:t xml:space="preserve">, apre con il centralissimo – nell’economia complessiva dell’articolato – </w:t>
      </w:r>
      <w:r w:rsidRPr="00E84215">
        <w:rPr>
          <w:b/>
          <w:sz w:val="24"/>
        </w:rPr>
        <w:t>articolo 6</w:t>
      </w:r>
      <w:r>
        <w:rPr>
          <w:sz w:val="24"/>
        </w:rPr>
        <w:t xml:space="preserve"> dedicato ai g</w:t>
      </w:r>
      <w:r w:rsidRPr="00E84215">
        <w:rPr>
          <w:sz w:val="24"/>
        </w:rPr>
        <w:t xml:space="preserve">iochi pubblici a distanza e </w:t>
      </w:r>
      <w:r>
        <w:rPr>
          <w:sz w:val="24"/>
        </w:rPr>
        <w:t xml:space="preserve">al </w:t>
      </w:r>
      <w:r w:rsidRPr="00E84215">
        <w:rPr>
          <w:sz w:val="24"/>
        </w:rPr>
        <w:t>sistema concessorio</w:t>
      </w:r>
      <w:r w:rsidR="007712AC">
        <w:rPr>
          <w:sz w:val="24"/>
        </w:rPr>
        <w:t>.</w:t>
      </w:r>
    </w:p>
    <w:p w14:paraId="68FD01D8" w14:textId="77777777" w:rsidR="007712AC" w:rsidRDefault="007712AC" w:rsidP="00E84215">
      <w:pPr>
        <w:jc w:val="both"/>
        <w:rPr>
          <w:sz w:val="24"/>
        </w:rPr>
      </w:pPr>
    </w:p>
    <w:p w14:paraId="1BB9E6FE" w14:textId="41B05B73" w:rsidR="00E84215" w:rsidRPr="00E84215" w:rsidRDefault="007712AC" w:rsidP="00E84215">
      <w:pPr>
        <w:jc w:val="both"/>
        <w:rPr>
          <w:sz w:val="24"/>
        </w:rPr>
      </w:pPr>
      <w:r>
        <w:rPr>
          <w:sz w:val="24"/>
        </w:rPr>
        <w:t>Sintetizzandone la rassegna, col comma 1 si enumerano le</w:t>
      </w:r>
      <w:r w:rsidR="00E84215" w:rsidRPr="00E84215">
        <w:rPr>
          <w:sz w:val="24"/>
        </w:rPr>
        <w:t xml:space="preserve"> tipologie di gioco pubblico con vincita in denaro, riservate allo Stato, di cui sono consentiti, in forza di apposito titolo concessorio rilasciato dall’A</w:t>
      </w:r>
      <w:r>
        <w:rPr>
          <w:sz w:val="24"/>
        </w:rPr>
        <w:t>DM</w:t>
      </w:r>
      <w:r w:rsidR="00E84215" w:rsidRPr="00E84215">
        <w:rPr>
          <w:sz w:val="24"/>
        </w:rPr>
        <w:t>, l’esercizio e la raccolta</w:t>
      </w:r>
      <w:r>
        <w:rPr>
          <w:sz w:val="24"/>
        </w:rPr>
        <w:t>. Ossia</w:t>
      </w:r>
      <w:r w:rsidR="00E84215" w:rsidRPr="00E84215">
        <w:rPr>
          <w:sz w:val="24"/>
        </w:rPr>
        <w:t>:</w:t>
      </w:r>
    </w:p>
    <w:p w14:paraId="45DF677A" w14:textId="77777777" w:rsidR="00E84215" w:rsidRPr="00E84215" w:rsidRDefault="00E84215" w:rsidP="007712AC">
      <w:pPr>
        <w:ind w:left="284" w:hanging="284"/>
        <w:jc w:val="both"/>
        <w:rPr>
          <w:sz w:val="24"/>
        </w:rPr>
      </w:pPr>
      <w:r w:rsidRPr="00E84215">
        <w:rPr>
          <w:sz w:val="24"/>
        </w:rPr>
        <w:t>a) scommesse, a quota fissa e a totalizzatore, su eventi, anche simulati, sportivi, inclusi quelli relativi alle corse dei cavalli, nonché su altri eventi;</w:t>
      </w:r>
    </w:p>
    <w:p w14:paraId="26919EEB" w14:textId="77777777" w:rsidR="00E84215" w:rsidRPr="00E84215" w:rsidRDefault="00E84215" w:rsidP="007712AC">
      <w:pPr>
        <w:ind w:left="284" w:hanging="284"/>
        <w:jc w:val="both"/>
        <w:rPr>
          <w:sz w:val="24"/>
        </w:rPr>
      </w:pPr>
      <w:r w:rsidRPr="00E84215">
        <w:rPr>
          <w:sz w:val="24"/>
        </w:rPr>
        <w:t>b) concorsi pronostici sportivi e ippici;</w:t>
      </w:r>
    </w:p>
    <w:p w14:paraId="3B8A70EB" w14:textId="77777777" w:rsidR="00E84215" w:rsidRPr="00E84215" w:rsidRDefault="00E84215" w:rsidP="007712AC">
      <w:pPr>
        <w:ind w:left="284" w:hanging="284"/>
        <w:jc w:val="both"/>
        <w:rPr>
          <w:sz w:val="24"/>
        </w:rPr>
      </w:pPr>
      <w:r w:rsidRPr="00E84215">
        <w:rPr>
          <w:sz w:val="24"/>
        </w:rPr>
        <w:t>c) giochi di ippica nazionale;</w:t>
      </w:r>
    </w:p>
    <w:p w14:paraId="491AAF27" w14:textId="77777777" w:rsidR="00E84215" w:rsidRPr="00E84215" w:rsidRDefault="00E84215" w:rsidP="007712AC">
      <w:pPr>
        <w:ind w:left="284" w:hanging="284"/>
        <w:jc w:val="both"/>
        <w:rPr>
          <w:sz w:val="24"/>
        </w:rPr>
      </w:pPr>
      <w:r w:rsidRPr="00E84215">
        <w:rPr>
          <w:sz w:val="24"/>
        </w:rPr>
        <w:t>d) giochi di abilità, inclusi i giochi di carte in modalità torneo ed in modalità diversa dal torneo, nonché giochi di sorte a quota fissa;</w:t>
      </w:r>
    </w:p>
    <w:p w14:paraId="1FBE4575" w14:textId="77777777" w:rsidR="00E84215" w:rsidRPr="00E84215" w:rsidRDefault="00E84215" w:rsidP="007712AC">
      <w:pPr>
        <w:ind w:left="284" w:hanging="284"/>
        <w:jc w:val="both"/>
        <w:rPr>
          <w:sz w:val="24"/>
        </w:rPr>
      </w:pPr>
      <w:r w:rsidRPr="00E84215">
        <w:rPr>
          <w:sz w:val="24"/>
        </w:rPr>
        <w:t>e) scommesse a quota fissa con interazione diretta tra i giocatori;</w:t>
      </w:r>
    </w:p>
    <w:p w14:paraId="617B6E9F" w14:textId="77777777" w:rsidR="00E84215" w:rsidRPr="00E84215" w:rsidRDefault="00E84215" w:rsidP="007712AC">
      <w:pPr>
        <w:ind w:left="284" w:hanging="284"/>
        <w:jc w:val="both"/>
        <w:rPr>
          <w:sz w:val="24"/>
        </w:rPr>
      </w:pPr>
      <w:r w:rsidRPr="00E84215">
        <w:rPr>
          <w:sz w:val="24"/>
        </w:rPr>
        <w:t>f) bingo;</w:t>
      </w:r>
    </w:p>
    <w:p w14:paraId="574FB0C9" w14:textId="77777777" w:rsidR="00E84215" w:rsidRPr="00E84215" w:rsidRDefault="00E84215" w:rsidP="007712AC">
      <w:pPr>
        <w:ind w:left="284" w:hanging="284"/>
        <w:jc w:val="both"/>
        <w:rPr>
          <w:sz w:val="24"/>
        </w:rPr>
      </w:pPr>
      <w:r w:rsidRPr="00E84215">
        <w:rPr>
          <w:sz w:val="24"/>
        </w:rPr>
        <w:t>g) giochi numerici a totalizzatore nazionale;</w:t>
      </w:r>
    </w:p>
    <w:p w14:paraId="273E05DC" w14:textId="77777777" w:rsidR="00E84215" w:rsidRPr="00E84215" w:rsidRDefault="00E84215" w:rsidP="007712AC">
      <w:pPr>
        <w:ind w:left="284" w:hanging="284"/>
        <w:jc w:val="both"/>
        <w:rPr>
          <w:sz w:val="24"/>
        </w:rPr>
      </w:pPr>
      <w:r w:rsidRPr="00E84215">
        <w:rPr>
          <w:sz w:val="24"/>
        </w:rPr>
        <w:t>h) giochi numerici a quota fissa;</w:t>
      </w:r>
    </w:p>
    <w:p w14:paraId="11737F8C" w14:textId="77777777" w:rsidR="00E84215" w:rsidRPr="00E84215" w:rsidRDefault="00E84215" w:rsidP="007712AC">
      <w:pPr>
        <w:ind w:left="284" w:hanging="284"/>
        <w:jc w:val="both"/>
        <w:rPr>
          <w:sz w:val="24"/>
        </w:rPr>
      </w:pPr>
      <w:r w:rsidRPr="00E84215">
        <w:rPr>
          <w:sz w:val="24"/>
        </w:rPr>
        <w:t>i) lotterie ad estrazione istantanea o differita;</w:t>
      </w:r>
    </w:p>
    <w:p w14:paraId="3B5E2DE7" w14:textId="7BB62B65" w:rsidR="00E84215" w:rsidRDefault="00E84215" w:rsidP="007712AC">
      <w:pPr>
        <w:ind w:left="284" w:hanging="284"/>
        <w:jc w:val="both"/>
        <w:rPr>
          <w:sz w:val="24"/>
        </w:rPr>
      </w:pPr>
      <w:r w:rsidRPr="00E84215">
        <w:rPr>
          <w:sz w:val="24"/>
        </w:rPr>
        <w:t xml:space="preserve">l) ulteriori giochi svolti in modalità virtuale o digitale, anche attraverso il </w:t>
      </w:r>
      <w:proofErr w:type="spellStart"/>
      <w:r w:rsidRPr="00E84215">
        <w:rPr>
          <w:sz w:val="24"/>
        </w:rPr>
        <w:t>metaverso</w:t>
      </w:r>
      <w:proofErr w:type="spellEnd"/>
      <w:r w:rsidRPr="00E84215">
        <w:rPr>
          <w:sz w:val="24"/>
        </w:rPr>
        <w:t>, istituiti e disciplinati con regolamento.</w:t>
      </w:r>
      <w:r w:rsidR="007712AC">
        <w:rPr>
          <w:sz w:val="24"/>
        </w:rPr>
        <w:t xml:space="preserve"> Questi ultimi contemplati come possibile utile finestra verso modalità innovative di gioco attraverso circuiti informatici e telematici, i cui prodromi già si stanno manifestando e che tuttavia meritano di essere quanto prima appositamente regolati.</w:t>
      </w:r>
    </w:p>
    <w:p w14:paraId="56BE3A50" w14:textId="6E74A74C" w:rsidR="00E84215" w:rsidRDefault="00E84215" w:rsidP="0073229B">
      <w:pPr>
        <w:jc w:val="both"/>
        <w:rPr>
          <w:sz w:val="24"/>
        </w:rPr>
      </w:pPr>
    </w:p>
    <w:p w14:paraId="0C4308E5" w14:textId="6763A561" w:rsidR="00E84215" w:rsidRDefault="007712AC" w:rsidP="0073229B">
      <w:pPr>
        <w:jc w:val="both"/>
        <w:rPr>
          <w:sz w:val="24"/>
        </w:rPr>
      </w:pPr>
      <w:r>
        <w:rPr>
          <w:sz w:val="24"/>
        </w:rPr>
        <w:t>Col comma 3 si ribadisce che la durata delle future concessioni per il gioco a distanza è novennale, come detto per assicurare un sufficiente arco temporale di ammortamento degli investimenti effettuati dai privati che conseguono la concessione.</w:t>
      </w:r>
    </w:p>
    <w:p w14:paraId="04C48654" w14:textId="75DF2E5D" w:rsidR="00E84215" w:rsidRDefault="00E84215" w:rsidP="0073229B">
      <w:pPr>
        <w:jc w:val="both"/>
        <w:rPr>
          <w:sz w:val="24"/>
        </w:rPr>
      </w:pPr>
    </w:p>
    <w:p w14:paraId="0E029C66" w14:textId="3F6AD47B" w:rsidR="00E84215" w:rsidRDefault="007712AC" w:rsidP="0073229B">
      <w:pPr>
        <w:jc w:val="both"/>
        <w:rPr>
          <w:sz w:val="24"/>
        </w:rPr>
      </w:pPr>
      <w:r>
        <w:rPr>
          <w:sz w:val="24"/>
        </w:rPr>
        <w:t xml:space="preserve">Lo stesso comma e quello successivo (comma 4) prevedono, in continuità peraltro con la tradizione di settore, </w:t>
      </w:r>
      <w:r w:rsidR="009E216E">
        <w:rPr>
          <w:sz w:val="24"/>
        </w:rPr>
        <w:t xml:space="preserve">quali dei giochi pubblici raccolti a distanza sono gestiti mediante </w:t>
      </w:r>
      <w:proofErr w:type="spellStart"/>
      <w:r w:rsidR="009E216E">
        <w:rPr>
          <w:sz w:val="24"/>
        </w:rPr>
        <w:t>pluriconcessionari</w:t>
      </w:r>
      <w:proofErr w:type="spellEnd"/>
      <w:r w:rsidR="009E216E">
        <w:rPr>
          <w:sz w:val="24"/>
        </w:rPr>
        <w:t xml:space="preserve"> (giochi di cui al comma 1, lettere </w:t>
      </w:r>
      <w:proofErr w:type="gramStart"/>
      <w:r w:rsidR="009E216E">
        <w:rPr>
          <w:sz w:val="24"/>
        </w:rPr>
        <w:t>a)-</w:t>
      </w:r>
      <w:proofErr w:type="gramEnd"/>
      <w:r w:rsidR="009E216E">
        <w:rPr>
          <w:sz w:val="24"/>
        </w:rPr>
        <w:t xml:space="preserve">f) e quali, invece, mediante </w:t>
      </w:r>
      <w:proofErr w:type="spellStart"/>
      <w:r w:rsidR="009E216E">
        <w:rPr>
          <w:sz w:val="24"/>
        </w:rPr>
        <w:t>monoconcessionari</w:t>
      </w:r>
      <w:proofErr w:type="spellEnd"/>
      <w:r w:rsidR="009E216E">
        <w:rPr>
          <w:sz w:val="24"/>
        </w:rPr>
        <w:t xml:space="preserve"> (giochi di cui al comma 1, lettere g)-i).</w:t>
      </w:r>
    </w:p>
    <w:p w14:paraId="79832715" w14:textId="77777777" w:rsidR="00E84215" w:rsidRDefault="00E84215" w:rsidP="0073229B">
      <w:pPr>
        <w:jc w:val="both"/>
        <w:rPr>
          <w:sz w:val="24"/>
        </w:rPr>
      </w:pPr>
    </w:p>
    <w:p w14:paraId="482E2E4B" w14:textId="3BF87AA1" w:rsidR="00343108" w:rsidRDefault="009E216E" w:rsidP="0073229B">
      <w:pPr>
        <w:jc w:val="both"/>
        <w:rPr>
          <w:sz w:val="24"/>
        </w:rPr>
      </w:pPr>
      <w:r>
        <w:rPr>
          <w:sz w:val="24"/>
        </w:rPr>
        <w:t xml:space="preserve">Di rilievo, poi, i commi da 5 a 8, che compendiano il complesso delle regole volte a strutturare i futuri rapporti concessori (requisiti di partecipazione alle gare, obblighi che assumono i concessionari, tra i quali il pagamento degli oneri di </w:t>
      </w:r>
      <w:r w:rsidRPr="00E210A3">
        <w:rPr>
          <w:sz w:val="24"/>
        </w:rPr>
        <w:t xml:space="preserve">concessione sia per </w:t>
      </w:r>
      <w:r w:rsidRPr="00E210A3">
        <w:rPr>
          <w:i/>
          <w:sz w:val="24"/>
        </w:rPr>
        <w:t>una tantum</w:t>
      </w:r>
      <w:r w:rsidRPr="00E210A3">
        <w:rPr>
          <w:sz w:val="24"/>
        </w:rPr>
        <w:t xml:space="preserve"> </w:t>
      </w:r>
      <w:r w:rsidR="003432AB" w:rsidRPr="00E210A3">
        <w:rPr>
          <w:sz w:val="24"/>
        </w:rPr>
        <w:t xml:space="preserve">di importo </w:t>
      </w:r>
      <w:r w:rsidR="003432AB" w:rsidRPr="00E210A3">
        <w:rPr>
          <w:sz w:val="24"/>
        </w:rPr>
        <w:lastRenderedPageBreak/>
        <w:t xml:space="preserve">prestabilito </w:t>
      </w:r>
      <w:r w:rsidRPr="00E210A3">
        <w:rPr>
          <w:sz w:val="24"/>
        </w:rPr>
        <w:t>sia per canone annuale, istru</w:t>
      </w:r>
      <w:r>
        <w:rPr>
          <w:sz w:val="24"/>
        </w:rPr>
        <w:t>ttoria di ADM sulle domande di partecipazione alle gare, schemi dei contratti di conto di gioco tra concessionario e giocatore).</w:t>
      </w:r>
    </w:p>
    <w:p w14:paraId="1443C616" w14:textId="77777777" w:rsidR="00343108" w:rsidRDefault="00343108" w:rsidP="0073229B">
      <w:pPr>
        <w:jc w:val="both"/>
        <w:rPr>
          <w:sz w:val="24"/>
        </w:rPr>
      </w:pPr>
    </w:p>
    <w:p w14:paraId="07F509D6" w14:textId="39A1C69F" w:rsidR="009E216E" w:rsidRDefault="009E216E" w:rsidP="009E216E">
      <w:pPr>
        <w:jc w:val="both"/>
        <w:rPr>
          <w:sz w:val="24"/>
        </w:rPr>
      </w:pPr>
      <w:r>
        <w:rPr>
          <w:sz w:val="24"/>
        </w:rPr>
        <w:t xml:space="preserve">Gli </w:t>
      </w:r>
      <w:r w:rsidRPr="009E216E">
        <w:rPr>
          <w:b/>
          <w:sz w:val="24"/>
        </w:rPr>
        <w:t>articoli 7, 8 e 9</w:t>
      </w:r>
      <w:r>
        <w:rPr>
          <w:sz w:val="24"/>
        </w:rPr>
        <w:t xml:space="preserve"> sono dedicati alla disciplina della t</w:t>
      </w:r>
      <w:r w:rsidRPr="009E216E">
        <w:rPr>
          <w:sz w:val="24"/>
        </w:rPr>
        <w:t>racciabilità dei flussi</w:t>
      </w:r>
      <w:r>
        <w:rPr>
          <w:sz w:val="24"/>
        </w:rPr>
        <w:t xml:space="preserve"> </w:t>
      </w:r>
      <w:r w:rsidRPr="009E216E">
        <w:rPr>
          <w:sz w:val="24"/>
        </w:rPr>
        <w:t>finanziari</w:t>
      </w:r>
      <w:r>
        <w:rPr>
          <w:sz w:val="24"/>
        </w:rPr>
        <w:t xml:space="preserve"> connessi alle attività di gioco a distanza, a quella delle p</w:t>
      </w:r>
      <w:r w:rsidRPr="009E216E">
        <w:rPr>
          <w:sz w:val="24"/>
        </w:rPr>
        <w:t>enali convenzionali</w:t>
      </w:r>
      <w:r>
        <w:rPr>
          <w:sz w:val="24"/>
        </w:rPr>
        <w:t xml:space="preserve"> cui sono soggetti i concessionari per loro inadempimenti a vincoli concessori</w:t>
      </w:r>
      <w:r w:rsidR="004A4331">
        <w:rPr>
          <w:sz w:val="24"/>
        </w:rPr>
        <w:t>, nonché a quella delle ipotesi di t</w:t>
      </w:r>
      <w:r w:rsidRPr="009E216E">
        <w:rPr>
          <w:sz w:val="24"/>
        </w:rPr>
        <w:t>rasferimento, decadenza</w:t>
      </w:r>
      <w:r w:rsidR="004A4331">
        <w:rPr>
          <w:sz w:val="24"/>
        </w:rPr>
        <w:t xml:space="preserve"> e</w:t>
      </w:r>
      <w:r w:rsidRPr="009E216E">
        <w:rPr>
          <w:sz w:val="24"/>
        </w:rPr>
        <w:t xml:space="preserve"> revoca delle concessioni</w:t>
      </w:r>
      <w:r w:rsidR="004A4331">
        <w:rPr>
          <w:sz w:val="24"/>
        </w:rPr>
        <w:t>.</w:t>
      </w:r>
    </w:p>
    <w:p w14:paraId="0E4D81FB" w14:textId="02603BA9" w:rsidR="004A4331" w:rsidRDefault="004A4331" w:rsidP="009E216E">
      <w:pPr>
        <w:jc w:val="both"/>
        <w:rPr>
          <w:sz w:val="24"/>
        </w:rPr>
      </w:pPr>
    </w:p>
    <w:p w14:paraId="6232DF91" w14:textId="4318B01B" w:rsidR="004A4331" w:rsidRPr="004A4331" w:rsidRDefault="004A4331" w:rsidP="004A4331">
      <w:pPr>
        <w:jc w:val="both"/>
        <w:rPr>
          <w:sz w:val="24"/>
        </w:rPr>
      </w:pPr>
      <w:r>
        <w:rPr>
          <w:sz w:val="24"/>
        </w:rPr>
        <w:t>Degno di menzione l’</w:t>
      </w:r>
      <w:r w:rsidRPr="004A4331">
        <w:rPr>
          <w:b/>
          <w:sz w:val="24"/>
        </w:rPr>
        <w:t>articolo 10</w:t>
      </w:r>
      <w:r>
        <w:rPr>
          <w:sz w:val="24"/>
        </w:rPr>
        <w:t xml:space="preserve"> in tema di c</w:t>
      </w:r>
      <w:r w:rsidRPr="004A4331">
        <w:rPr>
          <w:sz w:val="24"/>
        </w:rPr>
        <w:t>onservazione dell’equilibrio contrattuale e scaden</w:t>
      </w:r>
      <w:r>
        <w:rPr>
          <w:sz w:val="24"/>
        </w:rPr>
        <w:t>za anticipata delle concessioni.</w:t>
      </w:r>
    </w:p>
    <w:p w14:paraId="54B79E68" w14:textId="77777777" w:rsidR="004A4331" w:rsidRPr="004A4331" w:rsidRDefault="004A4331" w:rsidP="004A4331">
      <w:pPr>
        <w:jc w:val="both"/>
        <w:rPr>
          <w:sz w:val="24"/>
        </w:rPr>
      </w:pPr>
    </w:p>
    <w:p w14:paraId="2C07F250" w14:textId="77777777" w:rsidR="004A4331" w:rsidRDefault="004A4331" w:rsidP="004A4331">
      <w:pPr>
        <w:jc w:val="both"/>
        <w:rPr>
          <w:sz w:val="24"/>
        </w:rPr>
      </w:pPr>
      <w:r>
        <w:rPr>
          <w:sz w:val="24"/>
        </w:rPr>
        <w:t xml:space="preserve">Sempre in aderenza ai citati principi, anche di fonte </w:t>
      </w:r>
      <w:proofErr w:type="spellStart"/>
      <w:r>
        <w:rPr>
          <w:sz w:val="24"/>
        </w:rPr>
        <w:t>unionanle</w:t>
      </w:r>
      <w:proofErr w:type="spellEnd"/>
      <w:r>
        <w:rPr>
          <w:sz w:val="24"/>
        </w:rPr>
        <w:t xml:space="preserve">, in materia di tutela della buona fede contrattuale, è prevista la possibilità, nell’ambito della disciplina regolatoria del rapporto di concessione, di </w:t>
      </w:r>
      <w:r w:rsidRPr="004A4331">
        <w:rPr>
          <w:sz w:val="24"/>
        </w:rPr>
        <w:t>clausole</w:t>
      </w:r>
      <w:r>
        <w:rPr>
          <w:sz w:val="24"/>
        </w:rPr>
        <w:t>:</w:t>
      </w:r>
    </w:p>
    <w:p w14:paraId="2344E8BB" w14:textId="745BAA56" w:rsidR="004A4331" w:rsidRPr="004A4331" w:rsidRDefault="000D53A4" w:rsidP="000D53A4">
      <w:pPr>
        <w:ind w:left="284" w:hanging="284"/>
        <w:jc w:val="both"/>
        <w:rPr>
          <w:sz w:val="24"/>
        </w:rPr>
      </w:pPr>
      <w:r>
        <w:rPr>
          <w:sz w:val="24"/>
        </w:rPr>
        <w:t>a</w:t>
      </w:r>
      <w:r w:rsidR="004A4331">
        <w:rPr>
          <w:sz w:val="24"/>
        </w:rPr>
        <w:t>)</w:t>
      </w:r>
      <w:r w:rsidR="004A4331" w:rsidRPr="004A4331">
        <w:rPr>
          <w:sz w:val="24"/>
        </w:rPr>
        <w:t xml:space="preserve"> finalizzate alla rinegoziazione secondo buona fede delle condizioni contrattuali per il ripristino dell’originario equilibrio in caso di sopravvenuti mutamenti del quadro regolatorio di riferimento, di circostanze straordinarie e imprevedibili, sia estranee alla normale alea sia all’ordinaria fluttuazione economica sia al rischio di mercato</w:t>
      </w:r>
      <w:r w:rsidR="004A4331">
        <w:rPr>
          <w:sz w:val="24"/>
        </w:rPr>
        <w:t xml:space="preserve"> (comma 1);</w:t>
      </w:r>
    </w:p>
    <w:p w14:paraId="40DD61DD" w14:textId="2906A768" w:rsidR="004A4331" w:rsidRDefault="000D53A4" w:rsidP="000D53A4">
      <w:pPr>
        <w:ind w:left="284" w:hanging="284"/>
        <w:jc w:val="both"/>
        <w:rPr>
          <w:sz w:val="24"/>
        </w:rPr>
      </w:pPr>
      <w:r>
        <w:rPr>
          <w:sz w:val="24"/>
        </w:rPr>
        <w:t>b</w:t>
      </w:r>
      <w:r w:rsidR="004A4331">
        <w:rPr>
          <w:sz w:val="24"/>
        </w:rPr>
        <w:t>) i</w:t>
      </w:r>
      <w:r w:rsidR="004A4331" w:rsidRPr="004A4331">
        <w:rPr>
          <w:sz w:val="24"/>
        </w:rPr>
        <w:t xml:space="preserve">n caso di eccessiva onerosità sopravvenuta, conseguente anche a significativi e non prevedibili mutamenti del mercato di riferimento ovvero del relativo quadro regolatorio, in caso di impossibilità di raggiungere in buona fede l’accordo di cui al </w:t>
      </w:r>
      <w:r w:rsidR="004A4331">
        <w:rPr>
          <w:sz w:val="24"/>
        </w:rPr>
        <w:t xml:space="preserve">ricordato </w:t>
      </w:r>
      <w:r w:rsidR="004A4331" w:rsidRPr="004A4331">
        <w:rPr>
          <w:sz w:val="24"/>
        </w:rPr>
        <w:t xml:space="preserve">comma 1, </w:t>
      </w:r>
      <w:r w:rsidR="004A4331">
        <w:rPr>
          <w:sz w:val="24"/>
        </w:rPr>
        <w:t>volte a consentire a</w:t>
      </w:r>
      <w:r w:rsidR="004A4331" w:rsidRPr="004A4331">
        <w:rPr>
          <w:sz w:val="24"/>
        </w:rPr>
        <w:t xml:space="preserve">l concessionario </w:t>
      </w:r>
      <w:r w:rsidR="004A4331">
        <w:rPr>
          <w:sz w:val="24"/>
        </w:rPr>
        <w:t>la richiesta a ADM</w:t>
      </w:r>
      <w:r w:rsidR="004A4331" w:rsidRPr="004A4331">
        <w:rPr>
          <w:sz w:val="24"/>
        </w:rPr>
        <w:t xml:space="preserve"> una scadenza anticipata della concessione e la relativa risoluzione consensuale della convenzione ad essa </w:t>
      </w:r>
      <w:proofErr w:type="spellStart"/>
      <w:r w:rsidR="004A4331" w:rsidRPr="004A4331">
        <w:rPr>
          <w:sz w:val="24"/>
        </w:rPr>
        <w:t>accessiva</w:t>
      </w:r>
      <w:proofErr w:type="spellEnd"/>
      <w:r w:rsidR="004A4331">
        <w:rPr>
          <w:sz w:val="24"/>
        </w:rPr>
        <w:t xml:space="preserve">, con previsione di un </w:t>
      </w:r>
      <w:r w:rsidR="004A4331" w:rsidRPr="004A4331">
        <w:rPr>
          <w:sz w:val="24"/>
        </w:rPr>
        <w:t>indennizzo da determinar</w:t>
      </w:r>
      <w:r w:rsidR="004A4331">
        <w:rPr>
          <w:sz w:val="24"/>
        </w:rPr>
        <w:t>e</w:t>
      </w:r>
      <w:r w:rsidR="004A4331" w:rsidRPr="004A4331">
        <w:rPr>
          <w:sz w:val="24"/>
        </w:rPr>
        <w:t xml:space="preserve"> second</w:t>
      </w:r>
      <w:r w:rsidR="004A4331">
        <w:rPr>
          <w:sz w:val="24"/>
        </w:rPr>
        <w:t>o</w:t>
      </w:r>
      <w:r w:rsidR="004A4331" w:rsidRPr="004A4331">
        <w:rPr>
          <w:sz w:val="24"/>
        </w:rPr>
        <w:t xml:space="preserve"> principi di ragionevolezza e proporzionalità in ragione del periodo residuo di durata della concessione non goduto.</w:t>
      </w:r>
    </w:p>
    <w:p w14:paraId="2622679A" w14:textId="77777777" w:rsidR="004A4331" w:rsidRPr="009E216E" w:rsidRDefault="004A4331" w:rsidP="009E216E">
      <w:pPr>
        <w:jc w:val="both"/>
        <w:rPr>
          <w:sz w:val="24"/>
        </w:rPr>
      </w:pPr>
    </w:p>
    <w:p w14:paraId="5A9BF7F3" w14:textId="6336F6EC" w:rsidR="00955EE8" w:rsidRDefault="000D53A4" w:rsidP="000D53A4">
      <w:pPr>
        <w:jc w:val="both"/>
        <w:rPr>
          <w:sz w:val="24"/>
        </w:rPr>
      </w:pPr>
      <w:r>
        <w:rPr>
          <w:sz w:val="24"/>
        </w:rPr>
        <w:t>Con l’</w:t>
      </w:r>
      <w:r w:rsidRPr="000D53A4">
        <w:rPr>
          <w:b/>
          <w:sz w:val="24"/>
        </w:rPr>
        <w:t>articolo 11</w:t>
      </w:r>
      <w:r>
        <w:rPr>
          <w:sz w:val="24"/>
        </w:rPr>
        <w:t xml:space="preserve">, in conformità </w:t>
      </w:r>
      <w:r w:rsidRPr="000D53A4">
        <w:rPr>
          <w:sz w:val="24"/>
        </w:rPr>
        <w:t xml:space="preserve">a quanto disposto dall’articolo 177 del </w:t>
      </w:r>
      <w:r>
        <w:rPr>
          <w:sz w:val="24"/>
        </w:rPr>
        <w:t xml:space="preserve">nuovo codice dei contratti pubblici si prevede che </w:t>
      </w:r>
      <w:r w:rsidRPr="000D53A4">
        <w:rPr>
          <w:sz w:val="24"/>
        </w:rPr>
        <w:t xml:space="preserve">l’affidamento della concessione comporta il trasferimento al concessionario del rischio operativo legato alla sua gestione. </w:t>
      </w:r>
      <w:r>
        <w:rPr>
          <w:sz w:val="24"/>
        </w:rPr>
        <w:t>Coerentemente, l</w:t>
      </w:r>
      <w:r w:rsidRPr="000D53A4">
        <w:rPr>
          <w:sz w:val="24"/>
        </w:rPr>
        <w:t xml:space="preserve">a concessione </w:t>
      </w:r>
      <w:proofErr w:type="spellStart"/>
      <w:r w:rsidRPr="000D53A4">
        <w:rPr>
          <w:sz w:val="24"/>
        </w:rPr>
        <w:t>accessiva</w:t>
      </w:r>
      <w:proofErr w:type="spellEnd"/>
      <w:r w:rsidRPr="000D53A4">
        <w:rPr>
          <w:sz w:val="24"/>
        </w:rPr>
        <w:t xml:space="preserve"> alle concessioni </w:t>
      </w:r>
      <w:r>
        <w:rPr>
          <w:sz w:val="24"/>
        </w:rPr>
        <w:t xml:space="preserve">prevederà </w:t>
      </w:r>
      <w:r w:rsidRPr="000D53A4">
        <w:rPr>
          <w:sz w:val="24"/>
        </w:rPr>
        <w:t>clausole conformi alle disposizioni di cui all’articolo 177 d</w:t>
      </w:r>
      <w:r>
        <w:rPr>
          <w:sz w:val="24"/>
        </w:rPr>
        <w:t xml:space="preserve">i detto codice, </w:t>
      </w:r>
      <w:r w:rsidRPr="000D53A4">
        <w:rPr>
          <w:sz w:val="24"/>
        </w:rPr>
        <w:t>attuative del principio della responsabilità unica del concessionario nei confronti dell’A</w:t>
      </w:r>
      <w:r>
        <w:rPr>
          <w:sz w:val="24"/>
        </w:rPr>
        <w:t>DM</w:t>
      </w:r>
      <w:r w:rsidRPr="000D53A4">
        <w:rPr>
          <w:sz w:val="24"/>
        </w:rPr>
        <w:t>.</w:t>
      </w:r>
    </w:p>
    <w:p w14:paraId="2C46A98F" w14:textId="16801AE2" w:rsidR="00955EE8" w:rsidRDefault="00955EE8" w:rsidP="0073229B">
      <w:pPr>
        <w:jc w:val="both"/>
        <w:rPr>
          <w:sz w:val="24"/>
        </w:rPr>
      </w:pPr>
    </w:p>
    <w:p w14:paraId="0FF57EAF" w14:textId="0C2B020B" w:rsidR="00A564A3" w:rsidRPr="00A564A3" w:rsidRDefault="00A564A3" w:rsidP="00A564A3">
      <w:pPr>
        <w:tabs>
          <w:tab w:val="left" w:pos="1290"/>
        </w:tabs>
        <w:jc w:val="both"/>
        <w:rPr>
          <w:sz w:val="24"/>
        </w:rPr>
      </w:pPr>
      <w:r>
        <w:rPr>
          <w:sz w:val="24"/>
        </w:rPr>
        <w:t>L’</w:t>
      </w:r>
      <w:r w:rsidRPr="00A564A3">
        <w:rPr>
          <w:b/>
          <w:sz w:val="24"/>
        </w:rPr>
        <w:t>articolo 12</w:t>
      </w:r>
      <w:r>
        <w:rPr>
          <w:sz w:val="24"/>
        </w:rPr>
        <w:t xml:space="preserve"> onera ADM dell’adozione di </w:t>
      </w:r>
      <w:r w:rsidRPr="00A564A3">
        <w:rPr>
          <w:sz w:val="24"/>
        </w:rPr>
        <w:t xml:space="preserve">regole tecniche minime in funzione ed esecuzione delle quali ciascuno dei concessionari appronta e mette in operatività la propria rete telematica ovvero l’infrastruttura </w:t>
      </w:r>
      <w:r w:rsidRPr="00A564A3">
        <w:rPr>
          <w:i/>
          <w:sz w:val="24"/>
        </w:rPr>
        <w:t>hardware</w:t>
      </w:r>
      <w:r w:rsidRPr="00A564A3">
        <w:rPr>
          <w:sz w:val="24"/>
        </w:rPr>
        <w:t xml:space="preserve"> e </w:t>
      </w:r>
      <w:r w:rsidRPr="00A564A3">
        <w:rPr>
          <w:i/>
          <w:sz w:val="24"/>
        </w:rPr>
        <w:t>software</w:t>
      </w:r>
      <w:r w:rsidRPr="00A564A3">
        <w:rPr>
          <w:sz w:val="24"/>
        </w:rPr>
        <w:t xml:space="preserve"> di trasmissione dei dati necessaria per la gestione operativa della concessione </w:t>
      </w:r>
      <w:r>
        <w:rPr>
          <w:sz w:val="24"/>
        </w:rPr>
        <w:t xml:space="preserve">volte a </w:t>
      </w:r>
      <w:r w:rsidRPr="00A564A3">
        <w:rPr>
          <w:sz w:val="24"/>
        </w:rPr>
        <w:t>salvaguard</w:t>
      </w:r>
      <w:r>
        <w:rPr>
          <w:sz w:val="24"/>
        </w:rPr>
        <w:t>are e tutelare gl</w:t>
      </w:r>
      <w:r w:rsidRPr="00A564A3">
        <w:rPr>
          <w:sz w:val="24"/>
        </w:rPr>
        <w:t>i interessi generali dell’ordine pubblico, della sicurezza, dell’affidamento dei giocatori, nonché di una diffusione e sviluppo sostenibili dell’offerta di giochi pubblici.</w:t>
      </w:r>
    </w:p>
    <w:p w14:paraId="5809AFC1" w14:textId="25CFD123" w:rsidR="00A564A3" w:rsidRDefault="00A564A3" w:rsidP="00A564A3">
      <w:pPr>
        <w:tabs>
          <w:tab w:val="left" w:pos="1290"/>
        </w:tabs>
        <w:jc w:val="both"/>
        <w:rPr>
          <w:sz w:val="24"/>
        </w:rPr>
      </w:pPr>
    </w:p>
    <w:p w14:paraId="023B87E5" w14:textId="6AE23EC9" w:rsidR="00A564A3" w:rsidRPr="00A564A3" w:rsidRDefault="00A564A3" w:rsidP="00A564A3">
      <w:pPr>
        <w:tabs>
          <w:tab w:val="left" w:pos="1290"/>
        </w:tabs>
        <w:jc w:val="both"/>
        <w:rPr>
          <w:sz w:val="24"/>
        </w:rPr>
      </w:pPr>
      <w:r>
        <w:rPr>
          <w:sz w:val="24"/>
        </w:rPr>
        <w:t>L’</w:t>
      </w:r>
      <w:r w:rsidRPr="00A564A3">
        <w:rPr>
          <w:b/>
          <w:sz w:val="24"/>
        </w:rPr>
        <w:t>articolo 13</w:t>
      </w:r>
      <w:r>
        <w:rPr>
          <w:sz w:val="24"/>
        </w:rPr>
        <w:t xml:space="preserve"> disciplina le limitate ed esclusive attività consentite ai giocatori presso i p</w:t>
      </w:r>
      <w:r w:rsidRPr="00A564A3">
        <w:rPr>
          <w:sz w:val="24"/>
        </w:rPr>
        <w:t>unti vendita ricariche</w:t>
      </w:r>
      <w:r>
        <w:rPr>
          <w:sz w:val="24"/>
        </w:rPr>
        <w:t xml:space="preserve"> (per </w:t>
      </w:r>
      <w:r w:rsidR="001727B7">
        <w:rPr>
          <w:sz w:val="24"/>
        </w:rPr>
        <w:t>i</w:t>
      </w:r>
      <w:r>
        <w:rPr>
          <w:sz w:val="24"/>
        </w:rPr>
        <w:t xml:space="preserve"> qual</w:t>
      </w:r>
      <w:r w:rsidR="001727B7">
        <w:rPr>
          <w:sz w:val="24"/>
        </w:rPr>
        <w:t>i</w:t>
      </w:r>
      <w:r>
        <w:rPr>
          <w:sz w:val="24"/>
        </w:rPr>
        <w:t xml:space="preserve"> opera la delimitazione specifica contenuta nell’articolo dedicato alle definizioni, in seno alla quale si precisa che le transazioni economiche del giocatore</w:t>
      </w:r>
      <w:r w:rsidR="001727B7">
        <w:rPr>
          <w:sz w:val="24"/>
        </w:rPr>
        <w:t>, presso i detti punti,</w:t>
      </w:r>
      <w:r>
        <w:rPr>
          <w:sz w:val="24"/>
        </w:rPr>
        <w:t xml:space="preserve"> sono consentite soltanto attraverso strumenti di pagamento elettronico</w:t>
      </w:r>
      <w:r w:rsidRPr="00A564A3">
        <w:rPr>
          <w:sz w:val="24"/>
        </w:rPr>
        <w:t>)</w:t>
      </w:r>
      <w:r w:rsidR="00102EE5">
        <w:rPr>
          <w:sz w:val="24"/>
        </w:rPr>
        <w:t>.</w:t>
      </w:r>
    </w:p>
    <w:p w14:paraId="40D919EF" w14:textId="4CDE5645" w:rsidR="00A564A3" w:rsidRDefault="00A564A3" w:rsidP="00A564A3">
      <w:pPr>
        <w:tabs>
          <w:tab w:val="left" w:pos="1290"/>
        </w:tabs>
        <w:jc w:val="both"/>
        <w:rPr>
          <w:sz w:val="24"/>
        </w:rPr>
      </w:pPr>
    </w:p>
    <w:p w14:paraId="63C4B313" w14:textId="76C0D984" w:rsidR="00A564A3" w:rsidRPr="00A564A3" w:rsidRDefault="00102EE5" w:rsidP="00A564A3">
      <w:pPr>
        <w:tabs>
          <w:tab w:val="left" w:pos="1290"/>
        </w:tabs>
        <w:jc w:val="both"/>
        <w:rPr>
          <w:sz w:val="24"/>
        </w:rPr>
      </w:pPr>
      <w:proofErr w:type="gramStart"/>
      <w:r>
        <w:rPr>
          <w:sz w:val="24"/>
        </w:rPr>
        <w:t>E’</w:t>
      </w:r>
      <w:proofErr w:type="gramEnd"/>
      <w:r>
        <w:rPr>
          <w:sz w:val="24"/>
        </w:rPr>
        <w:t xml:space="preserve"> previsto che per detti punti venga istituito e tenuto da ADM un apposito </w:t>
      </w:r>
      <w:r w:rsidR="00A564A3" w:rsidRPr="00A564A3">
        <w:rPr>
          <w:sz w:val="24"/>
        </w:rPr>
        <w:t xml:space="preserve">albo </w:t>
      </w:r>
      <w:r>
        <w:rPr>
          <w:sz w:val="24"/>
        </w:rPr>
        <w:t xml:space="preserve">(al fine di una chiara e trasparente individuazione di quali e quanti sono tali punti) in cui i titolari dei punti vendita ricariche dovranno iscriversi (comma 1) </w:t>
      </w:r>
      <w:r w:rsidR="00A564A3" w:rsidRPr="00A564A3">
        <w:rPr>
          <w:sz w:val="24"/>
        </w:rPr>
        <w:t xml:space="preserve">per </w:t>
      </w:r>
      <w:r>
        <w:rPr>
          <w:sz w:val="24"/>
        </w:rPr>
        <w:t>contrattualizzarsi con i diversi concessionari</w:t>
      </w:r>
      <w:r w:rsidR="00A564A3" w:rsidRPr="00A564A3">
        <w:rPr>
          <w:sz w:val="24"/>
        </w:rPr>
        <w:t>, senza vincolo di mandato in esclusiva.</w:t>
      </w:r>
    </w:p>
    <w:p w14:paraId="0C16DB2A" w14:textId="77777777" w:rsidR="00A564A3" w:rsidRPr="00A564A3" w:rsidRDefault="00A564A3" w:rsidP="00A564A3">
      <w:pPr>
        <w:tabs>
          <w:tab w:val="left" w:pos="1290"/>
        </w:tabs>
        <w:jc w:val="both"/>
        <w:rPr>
          <w:sz w:val="24"/>
        </w:rPr>
      </w:pPr>
    </w:p>
    <w:p w14:paraId="63E28604" w14:textId="67E14748" w:rsidR="00A564A3" w:rsidRPr="00A564A3" w:rsidRDefault="00A564A3" w:rsidP="00A564A3">
      <w:pPr>
        <w:tabs>
          <w:tab w:val="left" w:pos="1290"/>
        </w:tabs>
        <w:jc w:val="both"/>
        <w:rPr>
          <w:sz w:val="24"/>
        </w:rPr>
      </w:pPr>
      <w:r w:rsidRPr="00A564A3">
        <w:rPr>
          <w:sz w:val="24"/>
        </w:rPr>
        <w:t xml:space="preserve">L’iscrizione all’albo </w:t>
      </w:r>
      <w:r w:rsidR="00102EE5">
        <w:rPr>
          <w:sz w:val="24"/>
        </w:rPr>
        <w:t xml:space="preserve">(comma 2) </w:t>
      </w:r>
      <w:r w:rsidRPr="00A564A3">
        <w:rPr>
          <w:sz w:val="24"/>
        </w:rPr>
        <w:t xml:space="preserve">è subordinata al </w:t>
      </w:r>
      <w:r w:rsidR="00102EE5">
        <w:rPr>
          <w:sz w:val="24"/>
        </w:rPr>
        <w:t xml:space="preserve">previo </w:t>
      </w:r>
      <w:r w:rsidRPr="00A564A3">
        <w:rPr>
          <w:sz w:val="24"/>
        </w:rPr>
        <w:t>pagamento all’A</w:t>
      </w:r>
      <w:r w:rsidR="00102EE5">
        <w:rPr>
          <w:sz w:val="24"/>
        </w:rPr>
        <w:t>DM</w:t>
      </w:r>
      <w:r w:rsidRPr="00A564A3">
        <w:rPr>
          <w:sz w:val="24"/>
        </w:rPr>
        <w:t xml:space="preserve"> di un importo annuale pari a euro duecento per il primo anno e a euro centocinquanta per ciascuno degli anni successivi. Il mancato pagamento anche di una sola annualità del </w:t>
      </w:r>
      <w:proofErr w:type="gramStart"/>
      <w:r w:rsidRPr="00A564A3">
        <w:rPr>
          <w:sz w:val="24"/>
        </w:rPr>
        <w:t>predetto</w:t>
      </w:r>
      <w:proofErr w:type="gramEnd"/>
      <w:r w:rsidRPr="00A564A3">
        <w:rPr>
          <w:sz w:val="24"/>
        </w:rPr>
        <w:t xml:space="preserve"> importo comport</w:t>
      </w:r>
      <w:r w:rsidR="00102EE5">
        <w:rPr>
          <w:sz w:val="24"/>
        </w:rPr>
        <w:t xml:space="preserve">erà </w:t>
      </w:r>
      <w:r w:rsidRPr="00A564A3">
        <w:rPr>
          <w:sz w:val="24"/>
        </w:rPr>
        <w:t>senz’altro la decadenza dall’iscrizione all’albo.</w:t>
      </w:r>
    </w:p>
    <w:p w14:paraId="043C244B" w14:textId="77777777" w:rsidR="00A564A3" w:rsidRPr="00A564A3" w:rsidRDefault="00A564A3" w:rsidP="00A564A3">
      <w:pPr>
        <w:tabs>
          <w:tab w:val="left" w:pos="1290"/>
        </w:tabs>
        <w:jc w:val="both"/>
        <w:rPr>
          <w:sz w:val="24"/>
        </w:rPr>
      </w:pPr>
    </w:p>
    <w:p w14:paraId="124906BF" w14:textId="2478A2C6" w:rsidR="00A564A3" w:rsidRPr="00A564A3" w:rsidRDefault="00A564A3" w:rsidP="00A564A3">
      <w:pPr>
        <w:tabs>
          <w:tab w:val="left" w:pos="1290"/>
        </w:tabs>
        <w:jc w:val="both"/>
        <w:rPr>
          <w:sz w:val="24"/>
        </w:rPr>
      </w:pPr>
      <w:r w:rsidRPr="00A564A3">
        <w:rPr>
          <w:sz w:val="24"/>
        </w:rPr>
        <w:t xml:space="preserve">L’iscrizione all’albo </w:t>
      </w:r>
      <w:r w:rsidR="00102EE5">
        <w:rPr>
          <w:sz w:val="24"/>
        </w:rPr>
        <w:t>(comma 3) sarà</w:t>
      </w:r>
      <w:r w:rsidRPr="00A564A3">
        <w:rPr>
          <w:sz w:val="24"/>
        </w:rPr>
        <w:t xml:space="preserve"> presupposto e condizione necessaria ed essenziale per lo svolgimento dell’attività di punto vendita ricariche, con esclusione espressa di un qualunque prelievo delle somme giacenti sul conto di gioco e del pagamento delle vincite. </w:t>
      </w:r>
      <w:r w:rsidR="00102EE5">
        <w:rPr>
          <w:sz w:val="24"/>
        </w:rPr>
        <w:t>Sempre a fini di trasparenza e riconoscibilità. l</w:t>
      </w:r>
      <w:r w:rsidRPr="00A564A3">
        <w:rPr>
          <w:sz w:val="24"/>
        </w:rPr>
        <w:t xml:space="preserve">’attività del punto vendita ricariche non può essere svolta senza l’affissione, all’esterno dell’esercizio e in posizione visibile, di una insegna o targa di specifico riconoscimento e individuazione della </w:t>
      </w:r>
      <w:proofErr w:type="gramStart"/>
      <w:r w:rsidRPr="00A564A3">
        <w:rPr>
          <w:sz w:val="24"/>
        </w:rPr>
        <w:t>predetta</w:t>
      </w:r>
      <w:proofErr w:type="gramEnd"/>
      <w:r w:rsidRPr="00A564A3">
        <w:rPr>
          <w:sz w:val="24"/>
        </w:rPr>
        <w:t xml:space="preserve"> attività, le cui caratteristiche e dimensioni sono stabilite con decreto del Direttore dell’A</w:t>
      </w:r>
      <w:r w:rsidR="00102EE5">
        <w:rPr>
          <w:sz w:val="24"/>
        </w:rPr>
        <w:t>DM</w:t>
      </w:r>
      <w:r w:rsidRPr="00A564A3">
        <w:rPr>
          <w:sz w:val="24"/>
        </w:rPr>
        <w:t>.</w:t>
      </w:r>
    </w:p>
    <w:p w14:paraId="16949B64" w14:textId="77777777" w:rsidR="00A564A3" w:rsidRPr="00A564A3" w:rsidRDefault="00A564A3" w:rsidP="00A564A3">
      <w:pPr>
        <w:tabs>
          <w:tab w:val="left" w:pos="1290"/>
        </w:tabs>
        <w:jc w:val="both"/>
        <w:rPr>
          <w:sz w:val="24"/>
        </w:rPr>
      </w:pPr>
    </w:p>
    <w:p w14:paraId="4B940B25" w14:textId="592FA762" w:rsidR="00A564A3" w:rsidRDefault="00A564A3" w:rsidP="00A564A3">
      <w:pPr>
        <w:tabs>
          <w:tab w:val="left" w:pos="1290"/>
        </w:tabs>
        <w:jc w:val="both"/>
        <w:rPr>
          <w:sz w:val="24"/>
        </w:rPr>
      </w:pPr>
      <w:r w:rsidRPr="00A564A3">
        <w:rPr>
          <w:sz w:val="24"/>
        </w:rPr>
        <w:t>Lo schema di contratto per il punto vendita di ricariche adottato dal concessionario è trasmesso all’A</w:t>
      </w:r>
      <w:r w:rsidR="00102EE5">
        <w:rPr>
          <w:sz w:val="24"/>
        </w:rPr>
        <w:t>DM</w:t>
      </w:r>
      <w:r w:rsidRPr="00A564A3">
        <w:rPr>
          <w:sz w:val="24"/>
        </w:rPr>
        <w:t xml:space="preserve"> per la verifica della conformità dei relativi contenuti alle disposizioni del presente articolo</w:t>
      </w:r>
      <w:r w:rsidR="00102EE5">
        <w:rPr>
          <w:sz w:val="24"/>
        </w:rPr>
        <w:t xml:space="preserve"> (comma 4)</w:t>
      </w:r>
      <w:r w:rsidRPr="00A564A3">
        <w:rPr>
          <w:sz w:val="24"/>
        </w:rPr>
        <w:t>.</w:t>
      </w:r>
    </w:p>
    <w:p w14:paraId="3BD0298A" w14:textId="11DCC7A5" w:rsidR="00A564A3" w:rsidRDefault="00A564A3" w:rsidP="0073229B">
      <w:pPr>
        <w:jc w:val="both"/>
        <w:rPr>
          <w:sz w:val="24"/>
        </w:rPr>
      </w:pPr>
    </w:p>
    <w:p w14:paraId="76A4C634" w14:textId="62214D72" w:rsidR="0084707B" w:rsidRPr="0084707B" w:rsidRDefault="0084707B" w:rsidP="0084707B">
      <w:pPr>
        <w:jc w:val="both"/>
        <w:rPr>
          <w:sz w:val="24"/>
        </w:rPr>
      </w:pPr>
      <w:r>
        <w:rPr>
          <w:sz w:val="24"/>
        </w:rPr>
        <w:t xml:space="preserve">Gli </w:t>
      </w:r>
      <w:r w:rsidRPr="0084707B">
        <w:rPr>
          <w:b/>
          <w:sz w:val="24"/>
        </w:rPr>
        <w:t>articoli 14 e 15</w:t>
      </w:r>
      <w:r>
        <w:rPr>
          <w:sz w:val="24"/>
        </w:rPr>
        <w:t xml:space="preserve"> formano il Titolo </w:t>
      </w:r>
      <w:r w:rsidRPr="0084707B">
        <w:rPr>
          <w:sz w:val="24"/>
        </w:rPr>
        <w:t>III</w:t>
      </w:r>
      <w:r>
        <w:rPr>
          <w:sz w:val="24"/>
        </w:rPr>
        <w:t xml:space="preserve">, dedicato alla </w:t>
      </w:r>
      <w:r w:rsidRPr="0084707B">
        <w:rPr>
          <w:sz w:val="24"/>
        </w:rPr>
        <w:t>tutela e protezione del giocatore</w:t>
      </w:r>
      <w:r>
        <w:rPr>
          <w:sz w:val="24"/>
        </w:rPr>
        <w:t>.</w:t>
      </w:r>
    </w:p>
    <w:p w14:paraId="2A54C2AF" w14:textId="77777777" w:rsidR="0084707B" w:rsidRPr="0084707B" w:rsidRDefault="0084707B" w:rsidP="0084707B">
      <w:pPr>
        <w:jc w:val="both"/>
        <w:rPr>
          <w:sz w:val="24"/>
        </w:rPr>
      </w:pPr>
    </w:p>
    <w:p w14:paraId="2D6F239E" w14:textId="5522DD7B" w:rsidR="0084707B" w:rsidRDefault="0084707B" w:rsidP="0084707B">
      <w:pPr>
        <w:jc w:val="both"/>
        <w:rPr>
          <w:sz w:val="24"/>
        </w:rPr>
      </w:pPr>
      <w:r>
        <w:rPr>
          <w:sz w:val="24"/>
        </w:rPr>
        <w:t xml:space="preserve">Degno di nota il comma 3 dell’articolo 14 che prevede l’istituzione di una </w:t>
      </w:r>
      <w:r w:rsidRPr="0084707B">
        <w:rPr>
          <w:sz w:val="24"/>
        </w:rPr>
        <w:t>Consulta permanente dei giochi pubblici ammessi in Italia</w:t>
      </w:r>
      <w:r>
        <w:rPr>
          <w:sz w:val="24"/>
        </w:rPr>
        <w:t xml:space="preserve"> (la cui disciplina organizzativa e di funzionamento è rimessa ad un apposito regolamento adottato di concerto con il Ministro della salute),</w:t>
      </w:r>
      <w:r w:rsidRPr="0084707B">
        <w:rPr>
          <w:sz w:val="24"/>
        </w:rPr>
        <w:t xml:space="preserve"> </w:t>
      </w:r>
      <w:r>
        <w:rPr>
          <w:sz w:val="24"/>
        </w:rPr>
        <w:t xml:space="preserve">volta a </w:t>
      </w:r>
      <w:r w:rsidRPr="0084707B">
        <w:rPr>
          <w:sz w:val="24"/>
        </w:rPr>
        <w:t xml:space="preserve">monitorare l’andamento delle attività di gioco, incluse quelle illecite e non autorizzate, i loro effetti sulla salute dei giocatori, nonché di proporre al Governo misure ed interventi idonei allo scopo di contrastare lo sviluppo di ludopatia. </w:t>
      </w:r>
    </w:p>
    <w:p w14:paraId="016AFE86" w14:textId="77777777" w:rsidR="0084707B" w:rsidRDefault="0084707B" w:rsidP="0084707B">
      <w:pPr>
        <w:jc w:val="both"/>
        <w:rPr>
          <w:sz w:val="24"/>
        </w:rPr>
      </w:pPr>
    </w:p>
    <w:p w14:paraId="7203884C" w14:textId="71199453" w:rsidR="00CB3591" w:rsidRDefault="0084707B" w:rsidP="0084707B">
      <w:pPr>
        <w:jc w:val="both"/>
        <w:rPr>
          <w:sz w:val="24"/>
        </w:rPr>
      </w:pPr>
      <w:r>
        <w:rPr>
          <w:sz w:val="24"/>
        </w:rPr>
        <w:t xml:space="preserve">Degno di nota anche il comma 2 dell’articolo 15 che obbliga i concessionari ad </w:t>
      </w:r>
      <w:r w:rsidRPr="0084707B">
        <w:rPr>
          <w:sz w:val="24"/>
        </w:rPr>
        <w:t>invest</w:t>
      </w:r>
      <w:r>
        <w:rPr>
          <w:sz w:val="24"/>
        </w:rPr>
        <w:t>ir</w:t>
      </w:r>
      <w:r w:rsidRPr="0084707B">
        <w:rPr>
          <w:sz w:val="24"/>
        </w:rPr>
        <w:t xml:space="preserve">e </w:t>
      </w:r>
      <w:r w:rsidRPr="002A2ACA">
        <w:rPr>
          <w:sz w:val="24"/>
        </w:rPr>
        <w:t xml:space="preserve">annualmente una somma pari allo 0,2 per cento dei </w:t>
      </w:r>
      <w:r w:rsidR="00CB3591" w:rsidRPr="002A2ACA">
        <w:rPr>
          <w:sz w:val="24"/>
        </w:rPr>
        <w:t>loro</w:t>
      </w:r>
      <w:r w:rsidRPr="002A2ACA">
        <w:rPr>
          <w:sz w:val="24"/>
        </w:rPr>
        <w:t xml:space="preserve"> ricavi netti, comunque </w:t>
      </w:r>
      <w:r w:rsidR="00CB3591" w:rsidRPr="002A2ACA">
        <w:rPr>
          <w:sz w:val="24"/>
        </w:rPr>
        <w:t>con un tetto di e</w:t>
      </w:r>
      <w:r w:rsidRPr="002A2ACA">
        <w:rPr>
          <w:sz w:val="24"/>
        </w:rPr>
        <w:t xml:space="preserve">uro </w:t>
      </w:r>
      <w:r w:rsidR="00A30597" w:rsidRPr="002A2ACA">
        <w:rPr>
          <w:sz w:val="24"/>
        </w:rPr>
        <w:t>1.0</w:t>
      </w:r>
      <w:r w:rsidRPr="002A2ACA">
        <w:rPr>
          <w:sz w:val="24"/>
        </w:rPr>
        <w:t>00.000,00 per anno, in campagne informative ovvero in iniziative di comunicazione responsabile su temi annualmente stabiliti da una commissione governativa che</w:t>
      </w:r>
      <w:r w:rsidR="00CB3591" w:rsidRPr="002A2ACA">
        <w:rPr>
          <w:sz w:val="24"/>
        </w:rPr>
        <w:t xml:space="preserve"> </w:t>
      </w:r>
      <w:r w:rsidRPr="002A2ACA">
        <w:rPr>
          <w:sz w:val="24"/>
        </w:rPr>
        <w:t>opera presso il Dipartimento per l’informazione e l’editoria</w:t>
      </w:r>
      <w:r w:rsidRPr="0084707B">
        <w:rPr>
          <w:sz w:val="24"/>
        </w:rPr>
        <w:t xml:space="preserve"> della Presidenza del Consiglio dei Ministri</w:t>
      </w:r>
      <w:r w:rsidR="00CB3591">
        <w:rPr>
          <w:sz w:val="24"/>
        </w:rPr>
        <w:t>,</w:t>
      </w:r>
      <w:r w:rsidRPr="0084707B">
        <w:rPr>
          <w:sz w:val="24"/>
        </w:rPr>
        <w:t xml:space="preserve"> è presieduta dal Capo del predetto Dipartimento ed è composta da quattro membri in rappresentanza dei Ministri della salute, dell’istruzione, dell’interno e dell’economia e delle finanze.</w:t>
      </w:r>
    </w:p>
    <w:p w14:paraId="5DD26E7E" w14:textId="1039A2ED" w:rsidR="00CB3591" w:rsidRDefault="00CB3591" w:rsidP="0084707B">
      <w:pPr>
        <w:jc w:val="both"/>
        <w:rPr>
          <w:sz w:val="24"/>
        </w:rPr>
      </w:pPr>
    </w:p>
    <w:p w14:paraId="585C0158" w14:textId="47673C1C" w:rsidR="00CB3591" w:rsidRPr="00CB3591" w:rsidRDefault="00CB3591" w:rsidP="00CB3591">
      <w:pPr>
        <w:jc w:val="both"/>
        <w:rPr>
          <w:sz w:val="24"/>
        </w:rPr>
      </w:pPr>
      <w:r>
        <w:rPr>
          <w:sz w:val="24"/>
        </w:rPr>
        <w:t xml:space="preserve">Gli </w:t>
      </w:r>
      <w:r w:rsidRPr="00CB3591">
        <w:rPr>
          <w:b/>
          <w:sz w:val="24"/>
        </w:rPr>
        <w:t>articoli da 16 a 21</w:t>
      </w:r>
      <w:r>
        <w:rPr>
          <w:sz w:val="24"/>
        </w:rPr>
        <w:t xml:space="preserve"> formano il </w:t>
      </w:r>
      <w:r w:rsidRPr="00CB3591">
        <w:rPr>
          <w:sz w:val="24"/>
        </w:rPr>
        <w:t>T</w:t>
      </w:r>
      <w:r>
        <w:rPr>
          <w:sz w:val="24"/>
        </w:rPr>
        <w:t xml:space="preserve">itolo </w:t>
      </w:r>
      <w:r w:rsidRPr="00CB3591">
        <w:rPr>
          <w:sz w:val="24"/>
        </w:rPr>
        <w:t>IV</w:t>
      </w:r>
      <w:r>
        <w:rPr>
          <w:sz w:val="24"/>
        </w:rPr>
        <w:t xml:space="preserve"> dedicato alla </w:t>
      </w:r>
      <w:r w:rsidRPr="00CB3591">
        <w:rPr>
          <w:sz w:val="24"/>
        </w:rPr>
        <w:t>gestione dei giochi a distanza</w:t>
      </w:r>
      <w:r>
        <w:rPr>
          <w:sz w:val="24"/>
        </w:rPr>
        <w:t xml:space="preserve"> e recano disposizioni specifiche in tema di o</w:t>
      </w:r>
      <w:r w:rsidRPr="00CB3591">
        <w:rPr>
          <w:sz w:val="24"/>
        </w:rPr>
        <w:t>fferta e raccolta del gioco</w:t>
      </w:r>
      <w:r>
        <w:rPr>
          <w:sz w:val="24"/>
        </w:rPr>
        <w:t xml:space="preserve"> </w:t>
      </w:r>
      <w:r w:rsidRPr="00CB3591">
        <w:rPr>
          <w:i/>
          <w:sz w:val="24"/>
        </w:rPr>
        <w:t>online</w:t>
      </w:r>
      <w:r>
        <w:rPr>
          <w:sz w:val="24"/>
        </w:rPr>
        <w:t>, di v</w:t>
      </w:r>
      <w:r w:rsidRPr="00CB3591">
        <w:rPr>
          <w:sz w:val="24"/>
        </w:rPr>
        <w:t>incite</w:t>
      </w:r>
      <w:r>
        <w:rPr>
          <w:sz w:val="24"/>
        </w:rPr>
        <w:t xml:space="preserve"> e del loro p</w:t>
      </w:r>
      <w:r w:rsidRPr="00CB3591">
        <w:rPr>
          <w:sz w:val="24"/>
        </w:rPr>
        <w:t>agamento</w:t>
      </w:r>
      <w:r>
        <w:rPr>
          <w:sz w:val="24"/>
        </w:rPr>
        <w:t>, di c</w:t>
      </w:r>
      <w:r w:rsidRPr="00CB3591">
        <w:rPr>
          <w:sz w:val="24"/>
        </w:rPr>
        <w:t>omunicazioni degli esiti di gioco</w:t>
      </w:r>
      <w:r>
        <w:rPr>
          <w:sz w:val="24"/>
        </w:rPr>
        <w:t>, della m</w:t>
      </w:r>
      <w:r w:rsidRPr="00CB3591">
        <w:rPr>
          <w:sz w:val="24"/>
        </w:rPr>
        <w:t>an</w:t>
      </w:r>
      <w:r>
        <w:rPr>
          <w:sz w:val="24"/>
        </w:rPr>
        <w:t>utenzione dei prodotti di gioco e di r</w:t>
      </w:r>
      <w:r w:rsidRPr="00CB3591">
        <w:rPr>
          <w:sz w:val="24"/>
        </w:rPr>
        <w:t>accolta a distanza dei giochi numerici e delle lotterie ad estrazione istantanea</w:t>
      </w:r>
      <w:r>
        <w:rPr>
          <w:sz w:val="24"/>
        </w:rPr>
        <w:t xml:space="preserve"> (questi ultimi costituenti </w:t>
      </w:r>
      <w:r w:rsidRPr="00CB3591">
        <w:rPr>
          <w:sz w:val="24"/>
        </w:rPr>
        <w:t>l’</w:t>
      </w:r>
      <w:r w:rsidRPr="00CB3591">
        <w:rPr>
          <w:i/>
          <w:sz w:val="24"/>
        </w:rPr>
        <w:t>asset</w:t>
      </w:r>
      <w:r>
        <w:rPr>
          <w:sz w:val="24"/>
        </w:rPr>
        <w:t xml:space="preserve"> concessorio primario delle imprese </w:t>
      </w:r>
      <w:proofErr w:type="spellStart"/>
      <w:r>
        <w:rPr>
          <w:sz w:val="24"/>
        </w:rPr>
        <w:t>monoconcesisonarie</w:t>
      </w:r>
      <w:proofErr w:type="spellEnd"/>
      <w:r>
        <w:rPr>
          <w:sz w:val="24"/>
        </w:rPr>
        <w:t>.</w:t>
      </w:r>
    </w:p>
    <w:p w14:paraId="14F0E4C7" w14:textId="77777777" w:rsidR="00CB3591" w:rsidRPr="00CB3591" w:rsidRDefault="00CB3591" w:rsidP="00CB3591">
      <w:pPr>
        <w:jc w:val="both"/>
        <w:rPr>
          <w:sz w:val="24"/>
        </w:rPr>
      </w:pPr>
    </w:p>
    <w:p w14:paraId="3E119E2D" w14:textId="0F593876" w:rsidR="00CB3591" w:rsidRDefault="00CB3591" w:rsidP="00CB3591">
      <w:pPr>
        <w:jc w:val="both"/>
        <w:rPr>
          <w:sz w:val="24"/>
        </w:rPr>
      </w:pPr>
      <w:r>
        <w:rPr>
          <w:sz w:val="24"/>
        </w:rPr>
        <w:t xml:space="preserve">Degno di menzione l’articolo </w:t>
      </w:r>
      <w:r w:rsidRPr="00CB3591">
        <w:rPr>
          <w:sz w:val="24"/>
        </w:rPr>
        <w:t>20</w:t>
      </w:r>
      <w:r>
        <w:rPr>
          <w:sz w:val="24"/>
        </w:rPr>
        <w:t xml:space="preserve"> volto ad assicurare la </w:t>
      </w:r>
      <w:r w:rsidRPr="00CB3591">
        <w:rPr>
          <w:sz w:val="24"/>
        </w:rPr>
        <w:t xml:space="preserve">conservazione </w:t>
      </w:r>
      <w:r>
        <w:rPr>
          <w:sz w:val="24"/>
        </w:rPr>
        <w:t xml:space="preserve">nel tempo </w:t>
      </w:r>
      <w:r w:rsidRPr="00CB3591">
        <w:rPr>
          <w:sz w:val="24"/>
        </w:rPr>
        <w:t>dei valori patrimoniali pubblici</w:t>
      </w:r>
      <w:r w:rsidR="00632FF2">
        <w:rPr>
          <w:sz w:val="24"/>
        </w:rPr>
        <w:t xml:space="preserve"> costituiti dagli </w:t>
      </w:r>
      <w:r w:rsidR="00632FF2" w:rsidRPr="00632FF2">
        <w:rPr>
          <w:i/>
          <w:sz w:val="24"/>
        </w:rPr>
        <w:t>asset</w:t>
      </w:r>
      <w:r w:rsidR="00632FF2">
        <w:rPr>
          <w:sz w:val="24"/>
        </w:rPr>
        <w:t xml:space="preserve"> concessori del gioco a distanza</w:t>
      </w:r>
      <w:r w:rsidRPr="00CB3591">
        <w:rPr>
          <w:sz w:val="24"/>
        </w:rPr>
        <w:t>, nonché il miglioramento dei livelli di servizio in materia di giochi pubblici</w:t>
      </w:r>
      <w:r w:rsidR="00632FF2">
        <w:rPr>
          <w:sz w:val="24"/>
        </w:rPr>
        <w:t xml:space="preserve">. E’ </w:t>
      </w:r>
      <w:r w:rsidRPr="00CB3591">
        <w:rPr>
          <w:sz w:val="24"/>
        </w:rPr>
        <w:t>co</w:t>
      </w:r>
      <w:r w:rsidR="00632FF2">
        <w:rPr>
          <w:sz w:val="24"/>
        </w:rPr>
        <w:t xml:space="preserve">rrelativamente previsto che, </w:t>
      </w:r>
      <w:r w:rsidRPr="00CB3591">
        <w:rPr>
          <w:sz w:val="24"/>
        </w:rPr>
        <w:t>nei casi in cui l</w:t>
      </w:r>
      <w:r w:rsidR="00632FF2">
        <w:rPr>
          <w:sz w:val="24"/>
        </w:rPr>
        <w:t>’</w:t>
      </w:r>
      <w:r w:rsidRPr="00CB3591">
        <w:rPr>
          <w:sz w:val="24"/>
        </w:rPr>
        <w:t xml:space="preserve">offerta </w:t>
      </w:r>
      <w:r w:rsidR="00632FF2">
        <w:rPr>
          <w:sz w:val="24"/>
        </w:rPr>
        <w:t xml:space="preserve">di giochi pubblici a distanza </w:t>
      </w:r>
      <w:r w:rsidRPr="00CB3591">
        <w:rPr>
          <w:sz w:val="24"/>
        </w:rPr>
        <w:t xml:space="preserve">denoti </w:t>
      </w:r>
      <w:r w:rsidR="00632FF2">
        <w:rPr>
          <w:sz w:val="24"/>
        </w:rPr>
        <w:t xml:space="preserve">(caso tuttavia fortemente remoto) </w:t>
      </w:r>
      <w:r w:rsidRPr="00CB3591">
        <w:rPr>
          <w:sz w:val="24"/>
        </w:rPr>
        <w:t>una perdita di raccolta e gettito erariale</w:t>
      </w:r>
      <w:r w:rsidR="00632FF2" w:rsidRPr="00CB3591">
        <w:rPr>
          <w:sz w:val="24"/>
        </w:rPr>
        <w:t>, non inferiore al cinque per cento</w:t>
      </w:r>
      <w:r w:rsidR="00632FF2">
        <w:rPr>
          <w:sz w:val="24"/>
        </w:rPr>
        <w:t>,</w:t>
      </w:r>
      <w:r w:rsidRPr="00CB3591">
        <w:rPr>
          <w:sz w:val="24"/>
        </w:rPr>
        <w:t xml:space="preserve"> nell’arco d</w:t>
      </w:r>
      <w:r w:rsidR="00632FF2">
        <w:rPr>
          <w:sz w:val="24"/>
        </w:rPr>
        <w:t xml:space="preserve">i un </w:t>
      </w:r>
      <w:r w:rsidRPr="00CB3591">
        <w:rPr>
          <w:sz w:val="24"/>
        </w:rPr>
        <w:t>biennio</w:t>
      </w:r>
      <w:r w:rsidR="00632FF2">
        <w:rPr>
          <w:sz w:val="24"/>
        </w:rPr>
        <w:t xml:space="preserve">, </w:t>
      </w:r>
      <w:r w:rsidR="00632FF2" w:rsidRPr="00632FF2">
        <w:rPr>
          <w:sz w:val="24"/>
        </w:rPr>
        <w:t xml:space="preserve">con </w:t>
      </w:r>
      <w:r w:rsidR="00632FF2">
        <w:rPr>
          <w:sz w:val="24"/>
        </w:rPr>
        <w:t xml:space="preserve">apposito </w:t>
      </w:r>
      <w:r w:rsidR="00632FF2" w:rsidRPr="00632FF2">
        <w:rPr>
          <w:sz w:val="24"/>
        </w:rPr>
        <w:t>regolamento s</w:t>
      </w:r>
      <w:r w:rsidR="00632FF2">
        <w:rPr>
          <w:sz w:val="24"/>
        </w:rPr>
        <w:t>iano</w:t>
      </w:r>
      <w:r w:rsidR="00632FF2" w:rsidRPr="00632FF2">
        <w:rPr>
          <w:sz w:val="24"/>
        </w:rPr>
        <w:t xml:space="preserve"> consentite, in relazione ai singoli giochi a distanza, variazioni della restituzione in vincita e della posta di gioco, </w:t>
      </w:r>
      <w:proofErr w:type="spellStart"/>
      <w:r w:rsidR="00632FF2" w:rsidRPr="00632FF2">
        <w:rPr>
          <w:sz w:val="24"/>
        </w:rPr>
        <w:t>nonchè</w:t>
      </w:r>
      <w:proofErr w:type="spellEnd"/>
      <w:r w:rsidR="00632FF2" w:rsidRPr="00632FF2">
        <w:rPr>
          <w:sz w:val="24"/>
        </w:rPr>
        <w:t xml:space="preserve"> delle misure del prelievo </w:t>
      </w:r>
      <w:r w:rsidR="00632FF2" w:rsidRPr="00632FF2">
        <w:rPr>
          <w:sz w:val="24"/>
        </w:rPr>
        <w:lastRenderedPageBreak/>
        <w:t>direttamente proporzionali alla diminuzione della raccolta del gettito erariale, comunque non superiore al valore assoluto della diminuzione percentuale accertata</w:t>
      </w:r>
      <w:r w:rsidR="00632FF2">
        <w:rPr>
          <w:sz w:val="24"/>
        </w:rPr>
        <w:t>.</w:t>
      </w:r>
    </w:p>
    <w:p w14:paraId="6CD7B2FF" w14:textId="10B15934" w:rsidR="00632FF2" w:rsidRDefault="00632FF2" w:rsidP="00CB3591">
      <w:pPr>
        <w:jc w:val="both"/>
        <w:rPr>
          <w:sz w:val="24"/>
        </w:rPr>
      </w:pPr>
    </w:p>
    <w:p w14:paraId="24D83759" w14:textId="30C34344" w:rsidR="00632FF2" w:rsidRDefault="00632FF2" w:rsidP="00632FF2">
      <w:pPr>
        <w:jc w:val="both"/>
        <w:rPr>
          <w:sz w:val="24"/>
        </w:rPr>
      </w:pPr>
      <w:r>
        <w:rPr>
          <w:sz w:val="24"/>
        </w:rPr>
        <w:t xml:space="preserve">Il </w:t>
      </w:r>
      <w:r w:rsidRPr="00632FF2">
        <w:rPr>
          <w:sz w:val="24"/>
        </w:rPr>
        <w:t>T</w:t>
      </w:r>
      <w:r>
        <w:rPr>
          <w:sz w:val="24"/>
        </w:rPr>
        <w:t xml:space="preserve">itolo </w:t>
      </w:r>
      <w:r w:rsidRPr="00632FF2">
        <w:rPr>
          <w:sz w:val="24"/>
        </w:rPr>
        <w:t xml:space="preserve">V </w:t>
      </w:r>
      <w:r>
        <w:rPr>
          <w:sz w:val="24"/>
        </w:rPr>
        <w:t>reca disposizioni in tema di contrasto all’offerta illegale di gioco a distanza.</w:t>
      </w:r>
    </w:p>
    <w:p w14:paraId="4DF84751" w14:textId="5A944FCC" w:rsidR="00632FF2" w:rsidRDefault="00632FF2" w:rsidP="00632FF2">
      <w:pPr>
        <w:jc w:val="both"/>
        <w:rPr>
          <w:sz w:val="24"/>
        </w:rPr>
      </w:pPr>
    </w:p>
    <w:p w14:paraId="06C624B9" w14:textId="55125B44" w:rsidR="00632FF2" w:rsidRDefault="00632FF2" w:rsidP="00632FF2">
      <w:pPr>
        <w:jc w:val="both"/>
        <w:rPr>
          <w:sz w:val="24"/>
        </w:rPr>
      </w:pPr>
      <w:r>
        <w:rPr>
          <w:sz w:val="24"/>
        </w:rPr>
        <w:t>In particolare, l’</w:t>
      </w:r>
      <w:r w:rsidRPr="00632FF2">
        <w:rPr>
          <w:b/>
          <w:sz w:val="24"/>
        </w:rPr>
        <w:t>articolo 22</w:t>
      </w:r>
      <w:r>
        <w:rPr>
          <w:sz w:val="24"/>
        </w:rPr>
        <w:t xml:space="preserve"> stabilisce</w:t>
      </w:r>
      <w:r w:rsidR="00E13D31">
        <w:rPr>
          <w:sz w:val="24"/>
        </w:rPr>
        <w:t>, in sostanza,</w:t>
      </w:r>
      <w:r>
        <w:rPr>
          <w:sz w:val="24"/>
        </w:rPr>
        <w:t xml:space="preserve"> che:</w:t>
      </w:r>
    </w:p>
    <w:p w14:paraId="79CB7E0E" w14:textId="23C3C5AD" w:rsidR="00632FF2" w:rsidRPr="00632FF2" w:rsidRDefault="00E13D31" w:rsidP="00E13D31">
      <w:pPr>
        <w:ind w:left="142" w:hanging="142"/>
        <w:jc w:val="both"/>
        <w:rPr>
          <w:sz w:val="24"/>
        </w:rPr>
      </w:pPr>
      <w:r>
        <w:rPr>
          <w:sz w:val="24"/>
        </w:rPr>
        <w:t>-</w:t>
      </w:r>
      <w:r w:rsidR="00632FF2">
        <w:rPr>
          <w:sz w:val="24"/>
        </w:rPr>
        <w:t xml:space="preserve"> c</w:t>
      </w:r>
      <w:r w:rsidR="00632FF2" w:rsidRPr="00632FF2">
        <w:rPr>
          <w:sz w:val="24"/>
        </w:rPr>
        <w:t>on regolamento sono stabilite le modalità per la esclusione dell’offerta di gioco con vincita in denaro attraverso reti telematiche o di telecomunicazione effettuata da soggetti sprovvisti di concessione, nonché, di concerto con la Banca d’Italia, le modalità per impedire ai prestatori di servizi di pagamento la gestione di operazioni di raccolta e di versamento di somme, relative ad operazioni di gioco, a favore o per conto di soggetti p</w:t>
      </w:r>
      <w:r>
        <w:rPr>
          <w:sz w:val="24"/>
        </w:rPr>
        <w:t xml:space="preserve">rivi della </w:t>
      </w:r>
      <w:proofErr w:type="gramStart"/>
      <w:r>
        <w:rPr>
          <w:sz w:val="24"/>
        </w:rPr>
        <w:t>predetta</w:t>
      </w:r>
      <w:proofErr w:type="gramEnd"/>
      <w:r>
        <w:rPr>
          <w:sz w:val="24"/>
        </w:rPr>
        <w:t xml:space="preserve"> concessione;</w:t>
      </w:r>
    </w:p>
    <w:p w14:paraId="0869F5D9" w14:textId="19284970" w:rsidR="00632FF2" w:rsidRPr="00632FF2" w:rsidRDefault="00E13D31" w:rsidP="00E13D31">
      <w:pPr>
        <w:ind w:left="142" w:hanging="142"/>
        <w:jc w:val="both"/>
        <w:rPr>
          <w:sz w:val="24"/>
        </w:rPr>
      </w:pPr>
      <w:r>
        <w:rPr>
          <w:sz w:val="24"/>
        </w:rPr>
        <w:t xml:space="preserve">- il </w:t>
      </w:r>
      <w:proofErr w:type="gramStart"/>
      <w:r>
        <w:rPr>
          <w:sz w:val="24"/>
        </w:rPr>
        <w:t>predetto</w:t>
      </w:r>
      <w:proofErr w:type="gramEnd"/>
      <w:r>
        <w:rPr>
          <w:sz w:val="24"/>
        </w:rPr>
        <w:t xml:space="preserve"> </w:t>
      </w:r>
      <w:r w:rsidR="00632FF2" w:rsidRPr="00632FF2">
        <w:rPr>
          <w:sz w:val="24"/>
        </w:rPr>
        <w:t>regolamento prevede altresì misure informatiche, anche implicanti il ricorso a soluzioni di intelligenza artificiale, che l’A</w:t>
      </w:r>
      <w:r>
        <w:rPr>
          <w:sz w:val="24"/>
        </w:rPr>
        <w:t>DM</w:t>
      </w:r>
      <w:r w:rsidR="00632FF2" w:rsidRPr="00632FF2">
        <w:rPr>
          <w:sz w:val="24"/>
        </w:rPr>
        <w:t xml:space="preserve">, d’intesa con la Guardia di Finanza e avvalendosi della società </w:t>
      </w:r>
      <w:r w:rsidRPr="00E13D31">
        <w:rPr>
          <w:i/>
          <w:sz w:val="24"/>
        </w:rPr>
        <w:t>partner</w:t>
      </w:r>
      <w:r>
        <w:rPr>
          <w:sz w:val="24"/>
        </w:rPr>
        <w:t xml:space="preserve"> tecnologico dell’Amministrazione finanziaria, </w:t>
      </w:r>
      <w:r w:rsidR="00632FF2" w:rsidRPr="00632FF2">
        <w:rPr>
          <w:sz w:val="24"/>
        </w:rPr>
        <w:t xml:space="preserve">preordinate alla individuazione dei siti informatici, cui inibire l’accesso, di offerta di gioco a distanza non legale in quanto non riferiti ai concessionari selezionati </w:t>
      </w:r>
      <w:r>
        <w:rPr>
          <w:sz w:val="24"/>
        </w:rPr>
        <w:t>con le gare pubbliche di cui a</w:t>
      </w:r>
      <w:r w:rsidR="00632FF2" w:rsidRPr="00632FF2">
        <w:rPr>
          <w:sz w:val="24"/>
        </w:rPr>
        <w:t>ll</w:t>
      </w:r>
      <w:r>
        <w:rPr>
          <w:sz w:val="24"/>
        </w:rPr>
        <w:t>’articolo 6;</w:t>
      </w:r>
    </w:p>
    <w:p w14:paraId="263328E6" w14:textId="77777777" w:rsidR="00196219" w:rsidRDefault="00E13D31" w:rsidP="00E13D31">
      <w:pPr>
        <w:ind w:left="142" w:hanging="142"/>
        <w:jc w:val="both"/>
        <w:rPr>
          <w:sz w:val="24"/>
        </w:rPr>
      </w:pPr>
      <w:r>
        <w:rPr>
          <w:sz w:val="24"/>
        </w:rPr>
        <w:t>- ADM</w:t>
      </w:r>
      <w:r w:rsidR="00632FF2" w:rsidRPr="00632FF2">
        <w:rPr>
          <w:sz w:val="24"/>
        </w:rPr>
        <w:t>, d’intesa con la Guardia di Finanza e avvalendosi del</w:t>
      </w:r>
      <w:r>
        <w:rPr>
          <w:sz w:val="24"/>
        </w:rPr>
        <w:t xml:space="preserve"> </w:t>
      </w:r>
      <w:proofErr w:type="gramStart"/>
      <w:r>
        <w:rPr>
          <w:sz w:val="24"/>
        </w:rPr>
        <w:t>predetto</w:t>
      </w:r>
      <w:proofErr w:type="gramEnd"/>
      <w:r>
        <w:rPr>
          <w:sz w:val="24"/>
        </w:rPr>
        <w:t xml:space="preserve"> </w:t>
      </w:r>
      <w:r w:rsidRPr="00E13D31">
        <w:rPr>
          <w:i/>
          <w:sz w:val="24"/>
        </w:rPr>
        <w:t>partner</w:t>
      </w:r>
      <w:r>
        <w:rPr>
          <w:sz w:val="24"/>
        </w:rPr>
        <w:t xml:space="preserve"> tecnologico, </w:t>
      </w:r>
      <w:r w:rsidR="00632FF2" w:rsidRPr="00632FF2">
        <w:rPr>
          <w:sz w:val="24"/>
        </w:rPr>
        <w:t>redige la lista dei siti informatici di offerta legale di gioco a distanza direttamente ed esclusivamente riferiti ai concessionari selezionati</w:t>
      </w:r>
      <w:r>
        <w:rPr>
          <w:sz w:val="24"/>
        </w:rPr>
        <w:t>, nonché r</w:t>
      </w:r>
      <w:r w:rsidR="00632FF2" w:rsidRPr="00632FF2">
        <w:rPr>
          <w:sz w:val="24"/>
        </w:rPr>
        <w:t xml:space="preserve">edige e aggiorna costantemente la lista dei siti informatici il cui accesso è inibito in quanto volti a una offerta non legale di gioco a distanza perché non riferiti ai concessionari </w:t>
      </w:r>
      <w:r w:rsidR="00196219">
        <w:rPr>
          <w:sz w:val="24"/>
        </w:rPr>
        <w:t>selezionati;</w:t>
      </w:r>
    </w:p>
    <w:p w14:paraId="5AEB3507" w14:textId="77777777" w:rsidR="00196219" w:rsidRDefault="00196219" w:rsidP="00196219">
      <w:pPr>
        <w:ind w:left="142" w:hanging="142"/>
        <w:jc w:val="both"/>
        <w:rPr>
          <w:sz w:val="24"/>
        </w:rPr>
      </w:pPr>
      <w:r>
        <w:rPr>
          <w:sz w:val="24"/>
        </w:rPr>
        <w:t xml:space="preserve">- le </w:t>
      </w:r>
      <w:proofErr w:type="gramStart"/>
      <w:r>
        <w:rPr>
          <w:sz w:val="24"/>
        </w:rPr>
        <w:t>predette</w:t>
      </w:r>
      <w:proofErr w:type="gramEnd"/>
      <w:r>
        <w:rPr>
          <w:sz w:val="24"/>
        </w:rPr>
        <w:t xml:space="preserve"> </w:t>
      </w:r>
      <w:r w:rsidR="00632FF2" w:rsidRPr="00632FF2">
        <w:rPr>
          <w:sz w:val="24"/>
        </w:rPr>
        <w:t>liste sono rese pubbliche, con la più adeguata evidenza, in apposite sezioni dei siti istituzionali dell’A</w:t>
      </w:r>
      <w:r>
        <w:rPr>
          <w:sz w:val="24"/>
        </w:rPr>
        <w:t>DM e</w:t>
      </w:r>
      <w:r w:rsidR="00632FF2" w:rsidRPr="00632FF2">
        <w:rPr>
          <w:sz w:val="24"/>
        </w:rPr>
        <w:t xml:space="preserve"> della Guardia di Finanza</w:t>
      </w:r>
      <w:r>
        <w:rPr>
          <w:sz w:val="24"/>
        </w:rPr>
        <w:t>;</w:t>
      </w:r>
    </w:p>
    <w:p w14:paraId="027E1C5A" w14:textId="2093E534" w:rsidR="00632FF2" w:rsidRPr="00632FF2" w:rsidRDefault="00196219" w:rsidP="00196219">
      <w:pPr>
        <w:ind w:left="142" w:hanging="142"/>
        <w:jc w:val="both"/>
        <w:rPr>
          <w:sz w:val="24"/>
        </w:rPr>
      </w:pPr>
      <w:r>
        <w:rPr>
          <w:sz w:val="24"/>
        </w:rPr>
        <w:t>- apposite sanzioni pecuniarie per i forn</w:t>
      </w:r>
      <w:r w:rsidR="00632FF2" w:rsidRPr="00632FF2">
        <w:rPr>
          <w:sz w:val="24"/>
        </w:rPr>
        <w:t xml:space="preserve">itori di servizi di rete, i fornitori di connettività alla rete </w:t>
      </w:r>
      <w:r w:rsidR="00632FF2" w:rsidRPr="00196219">
        <w:rPr>
          <w:i/>
          <w:sz w:val="24"/>
        </w:rPr>
        <w:t>internet</w:t>
      </w:r>
      <w:r w:rsidR="00632FF2" w:rsidRPr="00632FF2">
        <w:rPr>
          <w:sz w:val="24"/>
        </w:rPr>
        <w:t>, i gestori di altre reti telematiche o di telecomunicazione o gli operatori che in relazione ad esse forniscono servizi telematici o di telecomunicazione, nonché i prestatori di servizi di pagamento che violino l’obbligo imposto dall’A</w:t>
      </w:r>
      <w:r>
        <w:rPr>
          <w:sz w:val="24"/>
        </w:rPr>
        <w:t>DM</w:t>
      </w:r>
      <w:r w:rsidR="00632FF2" w:rsidRPr="00632FF2">
        <w:rPr>
          <w:sz w:val="24"/>
        </w:rPr>
        <w:t xml:space="preserve"> di inibire l’utilizzazione delle reti delle quali sono gestori o in relazione alle quali forniscono servizi.</w:t>
      </w:r>
    </w:p>
    <w:p w14:paraId="3B126D2E" w14:textId="77777777" w:rsidR="00632FF2" w:rsidRPr="00632FF2" w:rsidRDefault="00632FF2" w:rsidP="00632FF2">
      <w:pPr>
        <w:jc w:val="both"/>
        <w:rPr>
          <w:sz w:val="24"/>
        </w:rPr>
      </w:pPr>
    </w:p>
    <w:p w14:paraId="2E8F639B" w14:textId="4162C500" w:rsidR="00632FF2" w:rsidRDefault="00196219" w:rsidP="00632FF2">
      <w:pPr>
        <w:jc w:val="both"/>
        <w:rPr>
          <w:sz w:val="24"/>
        </w:rPr>
      </w:pPr>
      <w:r>
        <w:rPr>
          <w:sz w:val="24"/>
        </w:rPr>
        <w:t xml:space="preserve">Gli </w:t>
      </w:r>
      <w:r w:rsidRPr="00196219">
        <w:rPr>
          <w:b/>
          <w:sz w:val="24"/>
        </w:rPr>
        <w:t>articoli 23 e 24</w:t>
      </w:r>
      <w:r>
        <w:rPr>
          <w:sz w:val="24"/>
        </w:rPr>
        <w:t xml:space="preserve"> del </w:t>
      </w:r>
      <w:r w:rsidR="00632FF2" w:rsidRPr="00632FF2">
        <w:rPr>
          <w:sz w:val="24"/>
        </w:rPr>
        <w:t>T</w:t>
      </w:r>
      <w:r>
        <w:rPr>
          <w:sz w:val="24"/>
        </w:rPr>
        <w:t xml:space="preserve">itolo </w:t>
      </w:r>
      <w:r w:rsidR="00632FF2" w:rsidRPr="00632FF2">
        <w:rPr>
          <w:sz w:val="24"/>
        </w:rPr>
        <w:t>VI</w:t>
      </w:r>
      <w:r>
        <w:rPr>
          <w:sz w:val="24"/>
        </w:rPr>
        <w:t>, recante disposizioni finali,</w:t>
      </w:r>
      <w:r w:rsidR="00632FF2" w:rsidRPr="00632FF2">
        <w:rPr>
          <w:sz w:val="24"/>
        </w:rPr>
        <w:t xml:space="preserve"> </w:t>
      </w:r>
      <w:r>
        <w:rPr>
          <w:sz w:val="24"/>
        </w:rPr>
        <w:t>prevedono in particolare:</w:t>
      </w:r>
    </w:p>
    <w:p w14:paraId="052C588F" w14:textId="0B62CD41" w:rsidR="00196219" w:rsidRPr="00632FF2" w:rsidRDefault="00196219" w:rsidP="00632FF2">
      <w:pPr>
        <w:jc w:val="both"/>
        <w:rPr>
          <w:sz w:val="24"/>
        </w:rPr>
      </w:pPr>
      <w:r>
        <w:rPr>
          <w:sz w:val="24"/>
        </w:rPr>
        <w:t>a) il primo dei due che:</w:t>
      </w:r>
    </w:p>
    <w:p w14:paraId="25EA26A0" w14:textId="78ADD05A" w:rsidR="00632FF2" w:rsidRPr="00632FF2" w:rsidRDefault="00196219" w:rsidP="00196219">
      <w:pPr>
        <w:ind w:left="426" w:hanging="142"/>
        <w:jc w:val="both"/>
        <w:rPr>
          <w:sz w:val="24"/>
        </w:rPr>
      </w:pPr>
      <w:r>
        <w:rPr>
          <w:sz w:val="24"/>
        </w:rPr>
        <w:t>- e</w:t>
      </w:r>
      <w:r w:rsidR="00632FF2" w:rsidRPr="00632FF2">
        <w:rPr>
          <w:sz w:val="24"/>
        </w:rPr>
        <w:t xml:space="preserve">ntro il 31 dicembre di ogni anno il Ministro dell’economia e delle finanze trasmette ai Presidenti della </w:t>
      </w:r>
      <w:proofErr w:type="gramStart"/>
      <w:r w:rsidR="00632FF2" w:rsidRPr="00632FF2">
        <w:rPr>
          <w:sz w:val="24"/>
        </w:rPr>
        <w:t>Camera dei Deputati</w:t>
      </w:r>
      <w:proofErr w:type="gramEnd"/>
      <w:r w:rsidR="00632FF2" w:rsidRPr="00632FF2">
        <w:rPr>
          <w:sz w:val="24"/>
        </w:rPr>
        <w:t xml:space="preserve"> e del Senato della Repubblica una relazione sul settore dei giochi pubblici, contenente tra l’altro dati sui progressi in materia di tutela dei giocatori e di legalità, sullo stato di sviluppo delle concessioni e delle relative reti di raccolta, sui volumi della raccolta, sui risultati economici della</w:t>
      </w:r>
      <w:r>
        <w:rPr>
          <w:sz w:val="24"/>
        </w:rPr>
        <w:t xml:space="preserve"> gestione del settore del gioco;</w:t>
      </w:r>
    </w:p>
    <w:p w14:paraId="6B2959A4" w14:textId="4F3399C7" w:rsidR="00632FF2" w:rsidRPr="00632FF2" w:rsidRDefault="00196219" w:rsidP="00196219">
      <w:pPr>
        <w:ind w:left="426" w:hanging="142"/>
        <w:jc w:val="both"/>
        <w:rPr>
          <w:sz w:val="24"/>
        </w:rPr>
      </w:pPr>
      <w:r>
        <w:rPr>
          <w:sz w:val="24"/>
        </w:rPr>
        <w:t>- come già ricordato, i</w:t>
      </w:r>
      <w:r w:rsidR="00632FF2" w:rsidRPr="00632FF2">
        <w:rPr>
          <w:sz w:val="24"/>
        </w:rPr>
        <w:t>n occasione del futuro riordino normativo in materia di raccolta del gioco attraverso reti fisiche si provvede altresì a quello complessivo in materia di fiscalità e di prelievi erariali nel settore del gioco pubblico</w:t>
      </w:r>
      <w:r>
        <w:rPr>
          <w:sz w:val="24"/>
        </w:rPr>
        <w:t xml:space="preserve"> e che f</w:t>
      </w:r>
      <w:r w:rsidR="00632FF2" w:rsidRPr="00632FF2">
        <w:rPr>
          <w:sz w:val="24"/>
        </w:rPr>
        <w:t>ino a quel momento nulla è innovato in tema di fiscalità e prelievi relativi al settore dell</w:t>
      </w:r>
      <w:r>
        <w:rPr>
          <w:sz w:val="24"/>
        </w:rPr>
        <w:t>a raccolta del gioco a distanza;</w:t>
      </w:r>
    </w:p>
    <w:p w14:paraId="1CD4D226" w14:textId="46854F19" w:rsidR="00632FF2" w:rsidRPr="00632FF2" w:rsidRDefault="00196219" w:rsidP="00196219">
      <w:pPr>
        <w:ind w:left="426" w:hanging="142"/>
        <w:jc w:val="both"/>
        <w:rPr>
          <w:sz w:val="24"/>
        </w:rPr>
      </w:pPr>
      <w:r>
        <w:rPr>
          <w:sz w:val="24"/>
        </w:rPr>
        <w:t xml:space="preserve">- </w:t>
      </w:r>
      <w:r w:rsidRPr="00632FF2">
        <w:rPr>
          <w:sz w:val="24"/>
        </w:rPr>
        <w:t>dopo l’entrata in vigore del presente decreto e in sua piena conformità</w:t>
      </w:r>
      <w:r>
        <w:rPr>
          <w:sz w:val="24"/>
        </w:rPr>
        <w:t xml:space="preserve">, ADM </w:t>
      </w:r>
      <w:r w:rsidR="00632FF2" w:rsidRPr="00632FF2">
        <w:rPr>
          <w:sz w:val="24"/>
        </w:rPr>
        <w:t>pubblica senza indugio il bando di gara per l’assegnazione delle concessioni per la raccolta dei giochi a distanza di cui alle lettere da a) a f) dell’articolo 6, comma 1, in scadenza il 31 dicembre 2024 in modo da assicurarne in ogni caso la loro</w:t>
      </w:r>
      <w:r>
        <w:rPr>
          <w:sz w:val="24"/>
        </w:rPr>
        <w:t xml:space="preserve"> aggiudicazione entro tale data;</w:t>
      </w:r>
    </w:p>
    <w:p w14:paraId="1699AE7A" w14:textId="77777777" w:rsidR="00196219" w:rsidRDefault="00196219" w:rsidP="00196219">
      <w:pPr>
        <w:ind w:left="284" w:hanging="284"/>
        <w:jc w:val="both"/>
        <w:rPr>
          <w:sz w:val="24"/>
        </w:rPr>
      </w:pPr>
      <w:r>
        <w:rPr>
          <w:sz w:val="24"/>
        </w:rPr>
        <w:t>b) il secondo dei due che, a fini di coordinamento normativo, c</w:t>
      </w:r>
      <w:r w:rsidR="00632FF2" w:rsidRPr="00632FF2">
        <w:rPr>
          <w:sz w:val="24"/>
        </w:rPr>
        <w:t>on successivo decreto legislativo adottato ai sensi dell’articolo 1, comma 5, della legge 9 agosto 2023, n. 111</w:t>
      </w:r>
      <w:r>
        <w:rPr>
          <w:sz w:val="24"/>
        </w:rPr>
        <w:t>:</w:t>
      </w:r>
    </w:p>
    <w:p w14:paraId="62ED17D0" w14:textId="7C290F9D" w:rsidR="00632FF2" w:rsidRPr="00632FF2" w:rsidRDefault="00196219" w:rsidP="00196219">
      <w:pPr>
        <w:ind w:left="426" w:hanging="142"/>
        <w:jc w:val="both"/>
        <w:rPr>
          <w:sz w:val="24"/>
        </w:rPr>
      </w:pPr>
      <w:r>
        <w:rPr>
          <w:sz w:val="24"/>
        </w:rPr>
        <w:lastRenderedPageBreak/>
        <w:t xml:space="preserve">- </w:t>
      </w:r>
      <w:r w:rsidR="00632FF2" w:rsidRPr="00632FF2">
        <w:rPr>
          <w:sz w:val="24"/>
        </w:rPr>
        <w:t>sono</w:t>
      </w:r>
      <w:r>
        <w:rPr>
          <w:sz w:val="24"/>
        </w:rPr>
        <w:t xml:space="preserve"> </w:t>
      </w:r>
      <w:r w:rsidR="00632FF2" w:rsidRPr="00632FF2">
        <w:rPr>
          <w:sz w:val="24"/>
        </w:rPr>
        <w:t xml:space="preserve">individuate le norme statali di rango primario e secondario, nonché le disposizioni statali di natura amministrativa generale, che sono o restano abrogate in ragione della loro incompatibilità con quelle del presente decreto, </w:t>
      </w:r>
      <w:r>
        <w:rPr>
          <w:sz w:val="24"/>
        </w:rPr>
        <w:t>ferma l’immediata abrogazione, per assoluta incompatibilità, de</w:t>
      </w:r>
      <w:r w:rsidR="00632FF2" w:rsidRPr="00632FF2">
        <w:rPr>
          <w:sz w:val="24"/>
        </w:rPr>
        <w:t>ll’articolo 1, comma 727, lettera e), della legge 27 dicembre 2019, n. 160;</w:t>
      </w:r>
    </w:p>
    <w:p w14:paraId="3CB762BA" w14:textId="2E465D24" w:rsidR="00632FF2" w:rsidRPr="00632FF2" w:rsidRDefault="00196219" w:rsidP="00196219">
      <w:pPr>
        <w:ind w:left="426" w:hanging="142"/>
        <w:jc w:val="both"/>
        <w:rPr>
          <w:sz w:val="24"/>
        </w:rPr>
      </w:pPr>
      <w:r>
        <w:rPr>
          <w:sz w:val="24"/>
        </w:rPr>
        <w:t xml:space="preserve">- sono </w:t>
      </w:r>
      <w:r w:rsidR="00632FF2" w:rsidRPr="00632FF2">
        <w:rPr>
          <w:sz w:val="24"/>
        </w:rPr>
        <w:t>introdotte le norme di occorrente coordinamento formale e sostanziale con quelle del presente decreto.</w:t>
      </w:r>
    </w:p>
    <w:p w14:paraId="62533D14" w14:textId="78BBA3EE" w:rsidR="00632FF2" w:rsidRDefault="00632FF2" w:rsidP="00632FF2">
      <w:pPr>
        <w:jc w:val="both"/>
        <w:rPr>
          <w:sz w:val="24"/>
        </w:rPr>
      </w:pPr>
    </w:p>
    <w:p w14:paraId="081FDD21" w14:textId="25C48B27" w:rsidR="00632FF2" w:rsidRPr="00CB3591" w:rsidRDefault="00196219" w:rsidP="00632FF2">
      <w:pPr>
        <w:jc w:val="both"/>
        <w:rPr>
          <w:sz w:val="24"/>
        </w:rPr>
      </w:pPr>
      <w:r>
        <w:rPr>
          <w:sz w:val="24"/>
        </w:rPr>
        <w:t>L’</w:t>
      </w:r>
      <w:r w:rsidRPr="00196219">
        <w:rPr>
          <w:b/>
          <w:sz w:val="24"/>
        </w:rPr>
        <w:t>articolo 25</w:t>
      </w:r>
      <w:r>
        <w:rPr>
          <w:sz w:val="24"/>
        </w:rPr>
        <w:t xml:space="preserve"> regola l’e</w:t>
      </w:r>
      <w:r w:rsidR="00632FF2" w:rsidRPr="00632FF2">
        <w:rPr>
          <w:sz w:val="24"/>
        </w:rPr>
        <w:t>ntrata in vigore</w:t>
      </w:r>
      <w:r>
        <w:rPr>
          <w:sz w:val="24"/>
        </w:rPr>
        <w:t xml:space="preserve"> del decreto delegato in questione</w:t>
      </w:r>
      <w:r w:rsidR="00632FF2" w:rsidRPr="00632FF2">
        <w:rPr>
          <w:sz w:val="24"/>
        </w:rPr>
        <w:t>.</w:t>
      </w:r>
    </w:p>
    <w:sectPr w:rsidR="00632FF2" w:rsidRPr="00CB3591">
      <w:footerReference w:type="even" r:id="rId8"/>
      <w:footerReference w:type="default" r:id="rId9"/>
      <w:footerReference w:type="first" r:id="rId10"/>
      <w:pgSz w:w="11920" w:h="16850"/>
      <w:pgMar w:top="1940" w:right="1460" w:bottom="280"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3F771" w14:textId="77777777" w:rsidR="00227CEF" w:rsidRDefault="00227CEF">
      <w:r>
        <w:separator/>
      </w:r>
    </w:p>
  </w:endnote>
  <w:endnote w:type="continuationSeparator" w:id="0">
    <w:p w14:paraId="30D8383B" w14:textId="77777777" w:rsidR="00227CEF" w:rsidRDefault="0022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E792A" w14:textId="16B9D10B" w:rsidR="00CB3591" w:rsidRDefault="00CB3591">
    <w:pPr>
      <w:pStyle w:val="Pidipagina"/>
    </w:pPr>
    <w:r>
      <w:rPr>
        <w:noProof/>
        <w:lang w:eastAsia="it-IT"/>
        <w14:ligatures w14:val="standardContextual"/>
      </w:rPr>
      <mc:AlternateContent>
        <mc:Choice Requires="wps">
          <w:drawing>
            <wp:anchor distT="0" distB="0" distL="0" distR="0" simplePos="0" relativeHeight="251659264" behindDoc="0" locked="0" layoutInCell="1" allowOverlap="1" wp14:anchorId="71954844" wp14:editId="742939AA">
              <wp:simplePos x="635" y="635"/>
              <wp:positionH relativeFrom="page">
                <wp:align>center</wp:align>
              </wp:positionH>
              <wp:positionV relativeFrom="page">
                <wp:align>bottom</wp:align>
              </wp:positionV>
              <wp:extent cx="443865" cy="443865"/>
              <wp:effectExtent l="0" t="0" r="13970" b="0"/>
              <wp:wrapNone/>
              <wp:docPr id="2" name="Casella di testo 1"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08A8D5" w14:textId="6D41B756" w:rsidR="00CB3591" w:rsidRPr="00176957" w:rsidRDefault="00CB3591" w:rsidP="00176957">
                          <w:pPr>
                            <w:rPr>
                              <w:rFonts w:ascii="Calibri" w:eastAsia="Calibri" w:hAnsi="Calibri" w:cs="Calibri"/>
                              <w:noProof/>
                              <w:color w:val="000000"/>
                              <w:sz w:val="18"/>
                              <w:szCs w:val="18"/>
                            </w:rPr>
                          </w:pPr>
                          <w:r w:rsidRPr="00176957">
                            <w:rPr>
                              <w:rFonts w:ascii="Calibri" w:eastAsia="Calibri" w:hAnsi="Calibri" w:cs="Calibri"/>
                              <w:noProof/>
                              <w:color w:val="000000"/>
                              <w:sz w:val="18"/>
                              <w:szCs w:val="18"/>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954844" id="_x0000_t202" coordsize="21600,21600" o:spt="202" path="m,l,21600r21600,l21600,xe">
              <v:stroke joinstyle="miter"/>
              <v:path gradientshapeok="t" o:connecttype="rect"/>
            </v:shapetype>
            <v:shape id="Casella di testo 1" o:spid="_x0000_s1026" type="#_x0000_t202" alt="CONFIDENT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" filled="f" stroked="f">
              <v:textbox style="mso-fit-shape-to-text:t" inset="0,0,0,15pt">
                <w:txbxContent>
                  <w:p w14:paraId="3E08A8D5" w14:textId="6D41B756" w:rsidR="00CB3591" w:rsidRPr="00176957" w:rsidRDefault="00CB3591" w:rsidP="00176957">
                    <w:pPr>
                      <w:rPr>
                        <w:rFonts w:ascii="Calibri" w:eastAsia="Calibri" w:hAnsi="Calibri" w:cs="Calibri"/>
                        <w:noProof/>
                        <w:color w:val="000000"/>
                        <w:sz w:val="18"/>
                        <w:szCs w:val="18"/>
                      </w:rPr>
                    </w:pPr>
                    <w:r w:rsidRPr="00176957">
                      <w:rPr>
                        <w:rFonts w:ascii="Calibri" w:eastAsia="Calibri" w:hAnsi="Calibri" w:cs="Calibri"/>
                        <w:noProof/>
                        <w:color w:val="000000"/>
                        <w:sz w:val="18"/>
                        <w:szCs w:val="18"/>
                      </w:rPr>
                      <w:t>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9601728"/>
      <w:docPartObj>
        <w:docPartGallery w:val="Page Numbers (Bottom of Page)"/>
        <w:docPartUnique/>
      </w:docPartObj>
    </w:sdtPr>
    <w:sdtEndPr/>
    <w:sdtContent>
      <w:p w14:paraId="6E254150" w14:textId="75EE7478" w:rsidR="00CB3591" w:rsidRDefault="00CB3591">
        <w:pPr>
          <w:pStyle w:val="Pidipagina"/>
          <w:jc w:val="right"/>
        </w:pPr>
        <w:r>
          <w:fldChar w:fldCharType="begin"/>
        </w:r>
        <w:r>
          <w:instrText>PAGE   \* MERGEFORMAT</w:instrText>
        </w:r>
        <w:r>
          <w:fldChar w:fldCharType="separate"/>
        </w:r>
        <w:r w:rsidR="00196219">
          <w:rPr>
            <w:noProof/>
          </w:rPr>
          <w:t>1</w:t>
        </w:r>
        <w:r>
          <w:fldChar w:fldCharType="end"/>
        </w:r>
      </w:p>
    </w:sdtContent>
  </w:sdt>
  <w:p w14:paraId="3D58CF43" w14:textId="344C4CA6" w:rsidR="00CB3591" w:rsidRDefault="00CB3591" w:rsidP="0076773F">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F41F1" w14:textId="11F7170F" w:rsidR="00CB3591" w:rsidRDefault="00CB3591">
    <w:pPr>
      <w:pStyle w:val="Pidipagina"/>
    </w:pPr>
    <w:r>
      <w:rPr>
        <w:noProof/>
        <w:lang w:eastAsia="it-IT"/>
        <w14:ligatures w14:val="standardContextual"/>
      </w:rPr>
      <mc:AlternateContent>
        <mc:Choice Requires="wps">
          <w:drawing>
            <wp:anchor distT="0" distB="0" distL="0" distR="0" simplePos="0" relativeHeight="251658240" behindDoc="0" locked="0" layoutInCell="1" allowOverlap="1" wp14:anchorId="4F3C5D82" wp14:editId="2713D987">
              <wp:simplePos x="635" y="635"/>
              <wp:positionH relativeFrom="page">
                <wp:align>center</wp:align>
              </wp:positionH>
              <wp:positionV relativeFrom="page">
                <wp:align>bottom</wp:align>
              </wp:positionV>
              <wp:extent cx="443865" cy="443865"/>
              <wp:effectExtent l="0" t="0" r="13970" b="0"/>
              <wp:wrapNone/>
              <wp:docPr id="1" name="Casella di testo 2"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941369" w14:textId="62B944EF" w:rsidR="00CB3591" w:rsidRPr="00176957" w:rsidRDefault="00CB3591" w:rsidP="00176957">
                          <w:pPr>
                            <w:rPr>
                              <w:rFonts w:ascii="Calibri" w:eastAsia="Calibri" w:hAnsi="Calibri" w:cs="Calibri"/>
                              <w:noProof/>
                              <w:color w:val="000000"/>
                              <w:sz w:val="18"/>
                              <w:szCs w:val="18"/>
                            </w:rPr>
                          </w:pPr>
                          <w:r w:rsidRPr="00176957">
                            <w:rPr>
                              <w:rFonts w:ascii="Calibri" w:eastAsia="Calibri" w:hAnsi="Calibri" w:cs="Calibri"/>
                              <w:noProof/>
                              <w:color w:val="000000"/>
                              <w:sz w:val="18"/>
                              <w:szCs w:val="18"/>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3C5D82" id="_x0000_t202" coordsize="21600,21600" o:spt="202" path="m,l,21600r21600,l21600,xe">
              <v:stroke joinstyle="miter"/>
              <v:path gradientshapeok="t" o:connecttype="rect"/>
            </v:shapetype>
            <v:shape id="Casella di testo 2" o:spid="_x0000_s1027" type="#_x0000_t202" alt="CONFIDENT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" filled="f" stroked="f">
              <v:textbox style="mso-fit-shape-to-text:t" inset="0,0,0,15pt">
                <w:txbxContent>
                  <w:p w14:paraId="03941369" w14:textId="62B944EF" w:rsidR="00CB3591" w:rsidRPr="00176957" w:rsidRDefault="00CB3591" w:rsidP="00176957">
                    <w:pPr>
                      <w:rPr>
                        <w:rFonts w:ascii="Calibri" w:eastAsia="Calibri" w:hAnsi="Calibri" w:cs="Calibri"/>
                        <w:noProof/>
                        <w:color w:val="000000"/>
                        <w:sz w:val="18"/>
                        <w:szCs w:val="18"/>
                      </w:rPr>
                    </w:pPr>
                    <w:r w:rsidRPr="00176957">
                      <w:rPr>
                        <w:rFonts w:ascii="Calibri" w:eastAsia="Calibri" w:hAnsi="Calibri" w:cs="Calibri"/>
                        <w:noProof/>
                        <w:color w:val="000000"/>
                        <w:sz w:val="18"/>
                        <w:szCs w:val="18"/>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588B4" w14:textId="77777777" w:rsidR="00227CEF" w:rsidRDefault="00227CEF">
      <w:r>
        <w:separator/>
      </w:r>
    </w:p>
  </w:footnote>
  <w:footnote w:type="continuationSeparator" w:id="0">
    <w:p w14:paraId="7E89438E" w14:textId="77777777" w:rsidR="00227CEF" w:rsidRDefault="00227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83A76"/>
    <w:multiLevelType w:val="hybridMultilevel"/>
    <w:tmpl w:val="8DE29318"/>
    <w:lvl w:ilvl="0" w:tplc="4CD4B73E">
      <w:start w:val="1"/>
      <w:numFmt w:val="lowerLetter"/>
      <w:lvlText w:val="%1)"/>
      <w:lvlJc w:val="left"/>
      <w:pPr>
        <w:ind w:left="987" w:hanging="360"/>
      </w:pPr>
      <w:rPr>
        <w:rFonts w:ascii="Times New Roman" w:eastAsia="Times New Roman" w:hAnsi="Times New Roman" w:cs="Times New Roman" w:hint="default"/>
        <w:b w:val="0"/>
        <w:bCs w:val="0"/>
        <w:i w:val="0"/>
        <w:iCs w:val="0"/>
        <w:spacing w:val="-1"/>
        <w:w w:val="100"/>
        <w:sz w:val="24"/>
        <w:szCs w:val="24"/>
        <w:lang w:val="it-IT" w:eastAsia="en-US" w:bidi="ar-SA"/>
      </w:rPr>
    </w:lvl>
    <w:lvl w:ilvl="1" w:tplc="8B940D6A">
      <w:start w:val="4"/>
      <w:numFmt w:val="bullet"/>
      <w:lvlText w:val="-"/>
      <w:lvlJc w:val="left"/>
      <w:pPr>
        <w:ind w:left="1707" w:hanging="360"/>
      </w:pPr>
      <w:rPr>
        <w:rFonts w:ascii="Times New Roman" w:eastAsia="Times New Roman" w:hAnsi="Times New Roman" w:cs="Times New Roman" w:hint="default"/>
      </w:rPr>
    </w:lvl>
    <w:lvl w:ilvl="2" w:tplc="0410001B" w:tentative="1">
      <w:start w:val="1"/>
      <w:numFmt w:val="lowerRoman"/>
      <w:lvlText w:val="%3."/>
      <w:lvlJc w:val="right"/>
      <w:pPr>
        <w:ind w:left="2427" w:hanging="180"/>
      </w:pPr>
    </w:lvl>
    <w:lvl w:ilvl="3" w:tplc="0410000F" w:tentative="1">
      <w:start w:val="1"/>
      <w:numFmt w:val="decimal"/>
      <w:lvlText w:val="%4."/>
      <w:lvlJc w:val="left"/>
      <w:pPr>
        <w:ind w:left="3147" w:hanging="360"/>
      </w:pPr>
    </w:lvl>
    <w:lvl w:ilvl="4" w:tplc="04100019" w:tentative="1">
      <w:start w:val="1"/>
      <w:numFmt w:val="lowerLetter"/>
      <w:lvlText w:val="%5."/>
      <w:lvlJc w:val="left"/>
      <w:pPr>
        <w:ind w:left="3867" w:hanging="360"/>
      </w:pPr>
    </w:lvl>
    <w:lvl w:ilvl="5" w:tplc="0410001B" w:tentative="1">
      <w:start w:val="1"/>
      <w:numFmt w:val="lowerRoman"/>
      <w:lvlText w:val="%6."/>
      <w:lvlJc w:val="right"/>
      <w:pPr>
        <w:ind w:left="4587" w:hanging="180"/>
      </w:pPr>
    </w:lvl>
    <w:lvl w:ilvl="6" w:tplc="0410000F" w:tentative="1">
      <w:start w:val="1"/>
      <w:numFmt w:val="decimal"/>
      <w:lvlText w:val="%7."/>
      <w:lvlJc w:val="left"/>
      <w:pPr>
        <w:ind w:left="5307" w:hanging="360"/>
      </w:pPr>
    </w:lvl>
    <w:lvl w:ilvl="7" w:tplc="04100019" w:tentative="1">
      <w:start w:val="1"/>
      <w:numFmt w:val="lowerLetter"/>
      <w:lvlText w:val="%8."/>
      <w:lvlJc w:val="left"/>
      <w:pPr>
        <w:ind w:left="6027" w:hanging="360"/>
      </w:pPr>
    </w:lvl>
    <w:lvl w:ilvl="8" w:tplc="0410001B" w:tentative="1">
      <w:start w:val="1"/>
      <w:numFmt w:val="lowerRoman"/>
      <w:lvlText w:val="%9."/>
      <w:lvlJc w:val="right"/>
      <w:pPr>
        <w:ind w:left="6747" w:hanging="180"/>
      </w:pPr>
    </w:lvl>
  </w:abstractNum>
  <w:abstractNum w:abstractNumId="1" w15:restartNumberingAfterBreak="0">
    <w:nsid w:val="109D7918"/>
    <w:multiLevelType w:val="hybridMultilevel"/>
    <w:tmpl w:val="4D5C43FC"/>
    <w:lvl w:ilvl="0" w:tplc="209EB80C">
      <w:start w:val="1"/>
      <w:numFmt w:val="lowerLetter"/>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2" w15:restartNumberingAfterBreak="0">
    <w:nsid w:val="1DDE7CA1"/>
    <w:multiLevelType w:val="hybridMultilevel"/>
    <w:tmpl w:val="65FE5536"/>
    <w:lvl w:ilvl="0" w:tplc="FFFFFFFF">
      <w:start w:val="1"/>
      <w:numFmt w:val="lowerRoman"/>
      <w:lvlText w:val="(%1)"/>
      <w:lvlJc w:val="left"/>
      <w:pPr>
        <w:ind w:left="1713" w:hanging="72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3" w15:restartNumberingAfterBreak="0">
    <w:nsid w:val="2C51567C"/>
    <w:multiLevelType w:val="hybridMultilevel"/>
    <w:tmpl w:val="65FE5536"/>
    <w:lvl w:ilvl="0" w:tplc="FFFFFFFF">
      <w:start w:val="1"/>
      <w:numFmt w:val="lowerRoman"/>
      <w:lvlText w:val="(%1)"/>
      <w:lvlJc w:val="left"/>
      <w:pPr>
        <w:ind w:left="1713" w:hanging="72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4" w15:restartNumberingAfterBreak="0">
    <w:nsid w:val="38541B8A"/>
    <w:multiLevelType w:val="hybridMultilevel"/>
    <w:tmpl w:val="6CE4EF26"/>
    <w:lvl w:ilvl="0" w:tplc="3F6EEBE4">
      <w:start w:val="1"/>
      <w:numFmt w:val="bullet"/>
      <w:lvlText w:val=""/>
      <w:lvlJc w:val="left"/>
      <w:pPr>
        <w:ind w:left="1440" w:hanging="360"/>
      </w:pPr>
      <w:rPr>
        <w:rFonts w:ascii="Symbol" w:hAnsi="Symbol"/>
      </w:rPr>
    </w:lvl>
    <w:lvl w:ilvl="1" w:tplc="3AC624EE">
      <w:start w:val="1"/>
      <w:numFmt w:val="bullet"/>
      <w:lvlText w:val=""/>
      <w:lvlJc w:val="left"/>
      <w:pPr>
        <w:ind w:left="1440" w:hanging="360"/>
      </w:pPr>
      <w:rPr>
        <w:rFonts w:ascii="Symbol" w:hAnsi="Symbol"/>
      </w:rPr>
    </w:lvl>
    <w:lvl w:ilvl="2" w:tplc="4808C90A">
      <w:start w:val="1"/>
      <w:numFmt w:val="bullet"/>
      <w:lvlText w:val=""/>
      <w:lvlJc w:val="left"/>
      <w:pPr>
        <w:ind w:left="1440" w:hanging="360"/>
      </w:pPr>
      <w:rPr>
        <w:rFonts w:ascii="Symbol" w:hAnsi="Symbol"/>
      </w:rPr>
    </w:lvl>
    <w:lvl w:ilvl="3" w:tplc="29761942">
      <w:start w:val="1"/>
      <w:numFmt w:val="bullet"/>
      <w:lvlText w:val=""/>
      <w:lvlJc w:val="left"/>
      <w:pPr>
        <w:ind w:left="1440" w:hanging="360"/>
      </w:pPr>
      <w:rPr>
        <w:rFonts w:ascii="Symbol" w:hAnsi="Symbol"/>
      </w:rPr>
    </w:lvl>
    <w:lvl w:ilvl="4" w:tplc="62ACD5EE">
      <w:start w:val="1"/>
      <w:numFmt w:val="bullet"/>
      <w:lvlText w:val=""/>
      <w:lvlJc w:val="left"/>
      <w:pPr>
        <w:ind w:left="1440" w:hanging="360"/>
      </w:pPr>
      <w:rPr>
        <w:rFonts w:ascii="Symbol" w:hAnsi="Symbol"/>
      </w:rPr>
    </w:lvl>
    <w:lvl w:ilvl="5" w:tplc="81FC26B4">
      <w:start w:val="1"/>
      <w:numFmt w:val="bullet"/>
      <w:lvlText w:val=""/>
      <w:lvlJc w:val="left"/>
      <w:pPr>
        <w:ind w:left="1440" w:hanging="360"/>
      </w:pPr>
      <w:rPr>
        <w:rFonts w:ascii="Symbol" w:hAnsi="Symbol"/>
      </w:rPr>
    </w:lvl>
    <w:lvl w:ilvl="6" w:tplc="542689C8">
      <w:start w:val="1"/>
      <w:numFmt w:val="bullet"/>
      <w:lvlText w:val=""/>
      <w:lvlJc w:val="left"/>
      <w:pPr>
        <w:ind w:left="1440" w:hanging="360"/>
      </w:pPr>
      <w:rPr>
        <w:rFonts w:ascii="Symbol" w:hAnsi="Symbol"/>
      </w:rPr>
    </w:lvl>
    <w:lvl w:ilvl="7" w:tplc="331ADAAE">
      <w:start w:val="1"/>
      <w:numFmt w:val="bullet"/>
      <w:lvlText w:val=""/>
      <w:lvlJc w:val="left"/>
      <w:pPr>
        <w:ind w:left="1440" w:hanging="360"/>
      </w:pPr>
      <w:rPr>
        <w:rFonts w:ascii="Symbol" w:hAnsi="Symbol"/>
      </w:rPr>
    </w:lvl>
    <w:lvl w:ilvl="8" w:tplc="E3420402">
      <w:start w:val="1"/>
      <w:numFmt w:val="bullet"/>
      <w:lvlText w:val=""/>
      <w:lvlJc w:val="left"/>
      <w:pPr>
        <w:ind w:left="1440" w:hanging="360"/>
      </w:pPr>
      <w:rPr>
        <w:rFonts w:ascii="Symbol" w:hAnsi="Symbol"/>
      </w:rPr>
    </w:lvl>
  </w:abstractNum>
  <w:abstractNum w:abstractNumId="5" w15:restartNumberingAfterBreak="0">
    <w:nsid w:val="53BB7CCC"/>
    <w:multiLevelType w:val="hybridMultilevel"/>
    <w:tmpl w:val="F940C846"/>
    <w:lvl w:ilvl="0" w:tplc="0410000B">
      <w:start w:val="1"/>
      <w:numFmt w:val="bullet"/>
      <w:lvlText w:val=""/>
      <w:lvlJc w:val="left"/>
      <w:pPr>
        <w:ind w:left="1287" w:hanging="360"/>
      </w:pPr>
      <w:rPr>
        <w:rFonts w:ascii="Wingdings" w:hAnsi="Wingdings"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54C843A2"/>
    <w:multiLevelType w:val="hybridMultilevel"/>
    <w:tmpl w:val="E1E4A606"/>
    <w:lvl w:ilvl="0" w:tplc="A94C7A00">
      <w:start w:val="1"/>
      <w:numFmt w:val="bullet"/>
      <w:lvlText w:val=""/>
      <w:lvlJc w:val="left"/>
      <w:pPr>
        <w:ind w:left="1440" w:hanging="360"/>
      </w:pPr>
      <w:rPr>
        <w:rFonts w:ascii="Symbol" w:hAnsi="Symbol"/>
      </w:rPr>
    </w:lvl>
    <w:lvl w:ilvl="1" w:tplc="BEA8A8B0">
      <w:start w:val="1"/>
      <w:numFmt w:val="bullet"/>
      <w:lvlText w:val=""/>
      <w:lvlJc w:val="left"/>
      <w:pPr>
        <w:ind w:left="1440" w:hanging="360"/>
      </w:pPr>
      <w:rPr>
        <w:rFonts w:ascii="Symbol" w:hAnsi="Symbol"/>
      </w:rPr>
    </w:lvl>
    <w:lvl w:ilvl="2" w:tplc="EF3082AE">
      <w:start w:val="1"/>
      <w:numFmt w:val="bullet"/>
      <w:lvlText w:val=""/>
      <w:lvlJc w:val="left"/>
      <w:pPr>
        <w:ind w:left="1440" w:hanging="360"/>
      </w:pPr>
      <w:rPr>
        <w:rFonts w:ascii="Symbol" w:hAnsi="Symbol"/>
      </w:rPr>
    </w:lvl>
    <w:lvl w:ilvl="3" w:tplc="E9144288">
      <w:start w:val="1"/>
      <w:numFmt w:val="bullet"/>
      <w:lvlText w:val=""/>
      <w:lvlJc w:val="left"/>
      <w:pPr>
        <w:ind w:left="1440" w:hanging="360"/>
      </w:pPr>
      <w:rPr>
        <w:rFonts w:ascii="Symbol" w:hAnsi="Symbol"/>
      </w:rPr>
    </w:lvl>
    <w:lvl w:ilvl="4" w:tplc="B46283E0">
      <w:start w:val="1"/>
      <w:numFmt w:val="bullet"/>
      <w:lvlText w:val=""/>
      <w:lvlJc w:val="left"/>
      <w:pPr>
        <w:ind w:left="1440" w:hanging="360"/>
      </w:pPr>
      <w:rPr>
        <w:rFonts w:ascii="Symbol" w:hAnsi="Symbol"/>
      </w:rPr>
    </w:lvl>
    <w:lvl w:ilvl="5" w:tplc="A8346E1C">
      <w:start w:val="1"/>
      <w:numFmt w:val="bullet"/>
      <w:lvlText w:val=""/>
      <w:lvlJc w:val="left"/>
      <w:pPr>
        <w:ind w:left="1440" w:hanging="360"/>
      </w:pPr>
      <w:rPr>
        <w:rFonts w:ascii="Symbol" w:hAnsi="Symbol"/>
      </w:rPr>
    </w:lvl>
    <w:lvl w:ilvl="6" w:tplc="C764F58A">
      <w:start w:val="1"/>
      <w:numFmt w:val="bullet"/>
      <w:lvlText w:val=""/>
      <w:lvlJc w:val="left"/>
      <w:pPr>
        <w:ind w:left="1440" w:hanging="360"/>
      </w:pPr>
      <w:rPr>
        <w:rFonts w:ascii="Symbol" w:hAnsi="Symbol"/>
      </w:rPr>
    </w:lvl>
    <w:lvl w:ilvl="7" w:tplc="6358A5DE">
      <w:start w:val="1"/>
      <w:numFmt w:val="bullet"/>
      <w:lvlText w:val=""/>
      <w:lvlJc w:val="left"/>
      <w:pPr>
        <w:ind w:left="1440" w:hanging="360"/>
      </w:pPr>
      <w:rPr>
        <w:rFonts w:ascii="Symbol" w:hAnsi="Symbol"/>
      </w:rPr>
    </w:lvl>
    <w:lvl w:ilvl="8" w:tplc="A2260068">
      <w:start w:val="1"/>
      <w:numFmt w:val="bullet"/>
      <w:lvlText w:val=""/>
      <w:lvlJc w:val="left"/>
      <w:pPr>
        <w:ind w:left="1440" w:hanging="360"/>
      </w:pPr>
      <w:rPr>
        <w:rFonts w:ascii="Symbol" w:hAnsi="Symbol"/>
      </w:rPr>
    </w:lvl>
  </w:abstractNum>
  <w:abstractNum w:abstractNumId="7" w15:restartNumberingAfterBreak="0">
    <w:nsid w:val="558C3485"/>
    <w:multiLevelType w:val="hybridMultilevel"/>
    <w:tmpl w:val="AF667CE8"/>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954431E"/>
    <w:multiLevelType w:val="hybridMultilevel"/>
    <w:tmpl w:val="2DE289FA"/>
    <w:lvl w:ilvl="0" w:tplc="CCD49204">
      <w:start w:val="1"/>
      <w:numFmt w:val="bullet"/>
      <w:lvlText w:val=""/>
      <w:lvlJc w:val="left"/>
      <w:pPr>
        <w:ind w:left="1440" w:hanging="360"/>
      </w:pPr>
      <w:rPr>
        <w:rFonts w:ascii="Symbol" w:hAnsi="Symbol"/>
      </w:rPr>
    </w:lvl>
    <w:lvl w:ilvl="1" w:tplc="330E039E">
      <w:start w:val="1"/>
      <w:numFmt w:val="bullet"/>
      <w:lvlText w:val=""/>
      <w:lvlJc w:val="left"/>
      <w:pPr>
        <w:ind w:left="1440" w:hanging="360"/>
      </w:pPr>
      <w:rPr>
        <w:rFonts w:ascii="Symbol" w:hAnsi="Symbol"/>
      </w:rPr>
    </w:lvl>
    <w:lvl w:ilvl="2" w:tplc="1478AE86">
      <w:start w:val="1"/>
      <w:numFmt w:val="bullet"/>
      <w:lvlText w:val=""/>
      <w:lvlJc w:val="left"/>
      <w:pPr>
        <w:ind w:left="1440" w:hanging="360"/>
      </w:pPr>
      <w:rPr>
        <w:rFonts w:ascii="Symbol" w:hAnsi="Symbol"/>
      </w:rPr>
    </w:lvl>
    <w:lvl w:ilvl="3" w:tplc="FD843DE0">
      <w:start w:val="1"/>
      <w:numFmt w:val="bullet"/>
      <w:lvlText w:val=""/>
      <w:lvlJc w:val="left"/>
      <w:pPr>
        <w:ind w:left="1440" w:hanging="360"/>
      </w:pPr>
      <w:rPr>
        <w:rFonts w:ascii="Symbol" w:hAnsi="Symbol"/>
      </w:rPr>
    </w:lvl>
    <w:lvl w:ilvl="4" w:tplc="3822CDFA">
      <w:start w:val="1"/>
      <w:numFmt w:val="bullet"/>
      <w:lvlText w:val=""/>
      <w:lvlJc w:val="left"/>
      <w:pPr>
        <w:ind w:left="1440" w:hanging="360"/>
      </w:pPr>
      <w:rPr>
        <w:rFonts w:ascii="Symbol" w:hAnsi="Symbol"/>
      </w:rPr>
    </w:lvl>
    <w:lvl w:ilvl="5" w:tplc="6A8E4378">
      <w:start w:val="1"/>
      <w:numFmt w:val="bullet"/>
      <w:lvlText w:val=""/>
      <w:lvlJc w:val="left"/>
      <w:pPr>
        <w:ind w:left="1440" w:hanging="360"/>
      </w:pPr>
      <w:rPr>
        <w:rFonts w:ascii="Symbol" w:hAnsi="Symbol"/>
      </w:rPr>
    </w:lvl>
    <w:lvl w:ilvl="6" w:tplc="D30AD5F0">
      <w:start w:val="1"/>
      <w:numFmt w:val="bullet"/>
      <w:lvlText w:val=""/>
      <w:lvlJc w:val="left"/>
      <w:pPr>
        <w:ind w:left="1440" w:hanging="360"/>
      </w:pPr>
      <w:rPr>
        <w:rFonts w:ascii="Symbol" w:hAnsi="Symbol"/>
      </w:rPr>
    </w:lvl>
    <w:lvl w:ilvl="7" w:tplc="19843A86">
      <w:start w:val="1"/>
      <w:numFmt w:val="bullet"/>
      <w:lvlText w:val=""/>
      <w:lvlJc w:val="left"/>
      <w:pPr>
        <w:ind w:left="1440" w:hanging="360"/>
      </w:pPr>
      <w:rPr>
        <w:rFonts w:ascii="Symbol" w:hAnsi="Symbol"/>
      </w:rPr>
    </w:lvl>
    <w:lvl w:ilvl="8" w:tplc="AA7837BA">
      <w:start w:val="1"/>
      <w:numFmt w:val="bullet"/>
      <w:lvlText w:val=""/>
      <w:lvlJc w:val="left"/>
      <w:pPr>
        <w:ind w:left="1440" w:hanging="360"/>
      </w:pPr>
      <w:rPr>
        <w:rFonts w:ascii="Symbol" w:hAnsi="Symbol"/>
      </w:rPr>
    </w:lvl>
  </w:abstractNum>
  <w:abstractNum w:abstractNumId="9" w15:restartNumberingAfterBreak="0">
    <w:nsid w:val="5B8C4C1B"/>
    <w:multiLevelType w:val="hybridMultilevel"/>
    <w:tmpl w:val="F72E2FD6"/>
    <w:lvl w:ilvl="0" w:tplc="745EB4E6">
      <w:start w:val="1"/>
      <w:numFmt w:val="bullet"/>
      <w:lvlText w:val=""/>
      <w:lvlJc w:val="left"/>
      <w:pPr>
        <w:ind w:left="1440" w:hanging="360"/>
      </w:pPr>
      <w:rPr>
        <w:rFonts w:ascii="Symbol" w:hAnsi="Symbol"/>
      </w:rPr>
    </w:lvl>
    <w:lvl w:ilvl="1" w:tplc="70EC7F34">
      <w:start w:val="1"/>
      <w:numFmt w:val="bullet"/>
      <w:lvlText w:val=""/>
      <w:lvlJc w:val="left"/>
      <w:pPr>
        <w:ind w:left="1440" w:hanging="360"/>
      </w:pPr>
      <w:rPr>
        <w:rFonts w:ascii="Symbol" w:hAnsi="Symbol"/>
      </w:rPr>
    </w:lvl>
    <w:lvl w:ilvl="2" w:tplc="8326CC4A">
      <w:start w:val="1"/>
      <w:numFmt w:val="bullet"/>
      <w:lvlText w:val=""/>
      <w:lvlJc w:val="left"/>
      <w:pPr>
        <w:ind w:left="1440" w:hanging="360"/>
      </w:pPr>
      <w:rPr>
        <w:rFonts w:ascii="Symbol" w:hAnsi="Symbol"/>
      </w:rPr>
    </w:lvl>
    <w:lvl w:ilvl="3" w:tplc="EF288CCE">
      <w:start w:val="1"/>
      <w:numFmt w:val="bullet"/>
      <w:lvlText w:val=""/>
      <w:lvlJc w:val="left"/>
      <w:pPr>
        <w:ind w:left="1440" w:hanging="360"/>
      </w:pPr>
      <w:rPr>
        <w:rFonts w:ascii="Symbol" w:hAnsi="Symbol"/>
      </w:rPr>
    </w:lvl>
    <w:lvl w:ilvl="4" w:tplc="20C4895C">
      <w:start w:val="1"/>
      <w:numFmt w:val="bullet"/>
      <w:lvlText w:val=""/>
      <w:lvlJc w:val="left"/>
      <w:pPr>
        <w:ind w:left="1440" w:hanging="360"/>
      </w:pPr>
      <w:rPr>
        <w:rFonts w:ascii="Symbol" w:hAnsi="Symbol"/>
      </w:rPr>
    </w:lvl>
    <w:lvl w:ilvl="5" w:tplc="1EF270E6">
      <w:start w:val="1"/>
      <w:numFmt w:val="bullet"/>
      <w:lvlText w:val=""/>
      <w:lvlJc w:val="left"/>
      <w:pPr>
        <w:ind w:left="1440" w:hanging="360"/>
      </w:pPr>
      <w:rPr>
        <w:rFonts w:ascii="Symbol" w:hAnsi="Symbol"/>
      </w:rPr>
    </w:lvl>
    <w:lvl w:ilvl="6" w:tplc="C2663A08">
      <w:start w:val="1"/>
      <w:numFmt w:val="bullet"/>
      <w:lvlText w:val=""/>
      <w:lvlJc w:val="left"/>
      <w:pPr>
        <w:ind w:left="1440" w:hanging="360"/>
      </w:pPr>
      <w:rPr>
        <w:rFonts w:ascii="Symbol" w:hAnsi="Symbol"/>
      </w:rPr>
    </w:lvl>
    <w:lvl w:ilvl="7" w:tplc="C36811AA">
      <w:start w:val="1"/>
      <w:numFmt w:val="bullet"/>
      <w:lvlText w:val=""/>
      <w:lvlJc w:val="left"/>
      <w:pPr>
        <w:ind w:left="1440" w:hanging="360"/>
      </w:pPr>
      <w:rPr>
        <w:rFonts w:ascii="Symbol" w:hAnsi="Symbol"/>
      </w:rPr>
    </w:lvl>
    <w:lvl w:ilvl="8" w:tplc="08C027E4">
      <w:start w:val="1"/>
      <w:numFmt w:val="bullet"/>
      <w:lvlText w:val=""/>
      <w:lvlJc w:val="left"/>
      <w:pPr>
        <w:ind w:left="1440" w:hanging="360"/>
      </w:pPr>
      <w:rPr>
        <w:rFonts w:ascii="Symbol" w:hAnsi="Symbol"/>
      </w:rPr>
    </w:lvl>
  </w:abstractNum>
  <w:abstractNum w:abstractNumId="10" w15:restartNumberingAfterBreak="0">
    <w:nsid w:val="64926F60"/>
    <w:multiLevelType w:val="hybridMultilevel"/>
    <w:tmpl w:val="65FE5536"/>
    <w:lvl w:ilvl="0" w:tplc="7644B26C">
      <w:start w:val="1"/>
      <w:numFmt w:val="lowerRoman"/>
      <w:lvlText w:val="(%1)"/>
      <w:lvlJc w:val="left"/>
      <w:pPr>
        <w:ind w:left="1713" w:hanging="72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1" w15:restartNumberingAfterBreak="0">
    <w:nsid w:val="799642FB"/>
    <w:multiLevelType w:val="hybridMultilevel"/>
    <w:tmpl w:val="6F1627AA"/>
    <w:lvl w:ilvl="0" w:tplc="1F3A435C">
      <w:start w:val="1"/>
      <w:numFmt w:val="lowerLetter"/>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2" w15:restartNumberingAfterBreak="0">
    <w:nsid w:val="7CA215EC"/>
    <w:multiLevelType w:val="hybridMultilevel"/>
    <w:tmpl w:val="886E6758"/>
    <w:lvl w:ilvl="0" w:tplc="26783AD8">
      <w:start w:val="1"/>
      <w:numFmt w:val="bullet"/>
      <w:lvlText w:val=""/>
      <w:lvlJc w:val="left"/>
      <w:pPr>
        <w:ind w:left="1440" w:hanging="360"/>
      </w:pPr>
      <w:rPr>
        <w:rFonts w:ascii="Symbol" w:hAnsi="Symbol"/>
      </w:rPr>
    </w:lvl>
    <w:lvl w:ilvl="1" w:tplc="00E6CFD0">
      <w:start w:val="1"/>
      <w:numFmt w:val="bullet"/>
      <w:lvlText w:val=""/>
      <w:lvlJc w:val="left"/>
      <w:pPr>
        <w:ind w:left="1440" w:hanging="360"/>
      </w:pPr>
      <w:rPr>
        <w:rFonts w:ascii="Symbol" w:hAnsi="Symbol"/>
      </w:rPr>
    </w:lvl>
    <w:lvl w:ilvl="2" w:tplc="FF086F3C">
      <w:start w:val="1"/>
      <w:numFmt w:val="bullet"/>
      <w:lvlText w:val=""/>
      <w:lvlJc w:val="left"/>
      <w:pPr>
        <w:ind w:left="1440" w:hanging="360"/>
      </w:pPr>
      <w:rPr>
        <w:rFonts w:ascii="Symbol" w:hAnsi="Symbol"/>
      </w:rPr>
    </w:lvl>
    <w:lvl w:ilvl="3" w:tplc="E6BA0A8A">
      <w:start w:val="1"/>
      <w:numFmt w:val="bullet"/>
      <w:lvlText w:val=""/>
      <w:lvlJc w:val="left"/>
      <w:pPr>
        <w:ind w:left="1440" w:hanging="360"/>
      </w:pPr>
      <w:rPr>
        <w:rFonts w:ascii="Symbol" w:hAnsi="Symbol"/>
      </w:rPr>
    </w:lvl>
    <w:lvl w:ilvl="4" w:tplc="ABD6D6F8">
      <w:start w:val="1"/>
      <w:numFmt w:val="bullet"/>
      <w:lvlText w:val=""/>
      <w:lvlJc w:val="left"/>
      <w:pPr>
        <w:ind w:left="1440" w:hanging="360"/>
      </w:pPr>
      <w:rPr>
        <w:rFonts w:ascii="Symbol" w:hAnsi="Symbol"/>
      </w:rPr>
    </w:lvl>
    <w:lvl w:ilvl="5" w:tplc="61521C40">
      <w:start w:val="1"/>
      <w:numFmt w:val="bullet"/>
      <w:lvlText w:val=""/>
      <w:lvlJc w:val="left"/>
      <w:pPr>
        <w:ind w:left="1440" w:hanging="360"/>
      </w:pPr>
      <w:rPr>
        <w:rFonts w:ascii="Symbol" w:hAnsi="Symbol"/>
      </w:rPr>
    </w:lvl>
    <w:lvl w:ilvl="6" w:tplc="1D1E68EA">
      <w:start w:val="1"/>
      <w:numFmt w:val="bullet"/>
      <w:lvlText w:val=""/>
      <w:lvlJc w:val="left"/>
      <w:pPr>
        <w:ind w:left="1440" w:hanging="360"/>
      </w:pPr>
      <w:rPr>
        <w:rFonts w:ascii="Symbol" w:hAnsi="Symbol"/>
      </w:rPr>
    </w:lvl>
    <w:lvl w:ilvl="7" w:tplc="555E84B4">
      <w:start w:val="1"/>
      <w:numFmt w:val="bullet"/>
      <w:lvlText w:val=""/>
      <w:lvlJc w:val="left"/>
      <w:pPr>
        <w:ind w:left="1440" w:hanging="360"/>
      </w:pPr>
      <w:rPr>
        <w:rFonts w:ascii="Symbol" w:hAnsi="Symbol"/>
      </w:rPr>
    </w:lvl>
    <w:lvl w:ilvl="8" w:tplc="8E7A6DC2">
      <w:start w:val="1"/>
      <w:numFmt w:val="bullet"/>
      <w:lvlText w:val=""/>
      <w:lvlJc w:val="left"/>
      <w:pPr>
        <w:ind w:left="1440" w:hanging="360"/>
      </w:pPr>
      <w:rPr>
        <w:rFonts w:ascii="Symbol" w:hAnsi="Symbol"/>
      </w:rPr>
    </w:lvl>
  </w:abstractNum>
  <w:num w:numId="1">
    <w:abstractNumId w:val="0"/>
  </w:num>
  <w:num w:numId="2">
    <w:abstractNumId w:val="5"/>
  </w:num>
  <w:num w:numId="3">
    <w:abstractNumId w:val="1"/>
  </w:num>
  <w:num w:numId="4">
    <w:abstractNumId w:val="11"/>
  </w:num>
  <w:num w:numId="5">
    <w:abstractNumId w:val="10"/>
  </w:num>
  <w:num w:numId="6">
    <w:abstractNumId w:val="4"/>
  </w:num>
  <w:num w:numId="7">
    <w:abstractNumId w:val="12"/>
  </w:num>
  <w:num w:numId="8">
    <w:abstractNumId w:val="6"/>
  </w:num>
  <w:num w:numId="9">
    <w:abstractNumId w:val="3"/>
  </w:num>
  <w:num w:numId="10">
    <w:abstractNumId w:val="2"/>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905"/>
    <w:rsid w:val="00037822"/>
    <w:rsid w:val="00096791"/>
    <w:rsid w:val="000D51A8"/>
    <w:rsid w:val="000D53A4"/>
    <w:rsid w:val="000F6C79"/>
    <w:rsid w:val="00102EE5"/>
    <w:rsid w:val="0017176E"/>
    <w:rsid w:val="001727B7"/>
    <w:rsid w:val="00176957"/>
    <w:rsid w:val="00196219"/>
    <w:rsid w:val="001D2B51"/>
    <w:rsid w:val="001E7295"/>
    <w:rsid w:val="0020305E"/>
    <w:rsid w:val="00227CEF"/>
    <w:rsid w:val="00237A23"/>
    <w:rsid w:val="002410FF"/>
    <w:rsid w:val="00254BDE"/>
    <w:rsid w:val="00287DC1"/>
    <w:rsid w:val="002946FD"/>
    <w:rsid w:val="002A2ACA"/>
    <w:rsid w:val="002C17E9"/>
    <w:rsid w:val="002F080B"/>
    <w:rsid w:val="00343108"/>
    <w:rsid w:val="003432AB"/>
    <w:rsid w:val="00381CF1"/>
    <w:rsid w:val="00411E43"/>
    <w:rsid w:val="00454780"/>
    <w:rsid w:val="004A4331"/>
    <w:rsid w:val="004C1D75"/>
    <w:rsid w:val="004C628C"/>
    <w:rsid w:val="004C62E8"/>
    <w:rsid w:val="00505882"/>
    <w:rsid w:val="00522675"/>
    <w:rsid w:val="0054335A"/>
    <w:rsid w:val="00543EF8"/>
    <w:rsid w:val="005A7BEE"/>
    <w:rsid w:val="00632FF2"/>
    <w:rsid w:val="00684C31"/>
    <w:rsid w:val="006C5897"/>
    <w:rsid w:val="006E6ABD"/>
    <w:rsid w:val="0073229B"/>
    <w:rsid w:val="0076773F"/>
    <w:rsid w:val="007712AC"/>
    <w:rsid w:val="007B7760"/>
    <w:rsid w:val="007C1542"/>
    <w:rsid w:val="0084707B"/>
    <w:rsid w:val="00891F02"/>
    <w:rsid w:val="008B0F91"/>
    <w:rsid w:val="00914F05"/>
    <w:rsid w:val="0092155B"/>
    <w:rsid w:val="00955EE8"/>
    <w:rsid w:val="00987ABC"/>
    <w:rsid w:val="009A0568"/>
    <w:rsid w:val="009B1905"/>
    <w:rsid w:val="009C691A"/>
    <w:rsid w:val="009E216E"/>
    <w:rsid w:val="00A30597"/>
    <w:rsid w:val="00A564A3"/>
    <w:rsid w:val="00AA2A61"/>
    <w:rsid w:val="00AC3BA1"/>
    <w:rsid w:val="00B13A00"/>
    <w:rsid w:val="00B66214"/>
    <w:rsid w:val="00B70E59"/>
    <w:rsid w:val="00C5199B"/>
    <w:rsid w:val="00CB3591"/>
    <w:rsid w:val="00CD1F23"/>
    <w:rsid w:val="00D44E9B"/>
    <w:rsid w:val="00DC6141"/>
    <w:rsid w:val="00DD389F"/>
    <w:rsid w:val="00E13D31"/>
    <w:rsid w:val="00E210A3"/>
    <w:rsid w:val="00E84215"/>
    <w:rsid w:val="00FA30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891DE"/>
  <w15:chartTrackingRefBased/>
  <w15:docId w15:val="{C5281431-078A-43AE-B8E5-0A1E35A4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1905"/>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f0">
    <w:name w:val="pf0"/>
    <w:basedOn w:val="Normale"/>
    <w:rsid w:val="009B1905"/>
    <w:pPr>
      <w:spacing w:before="100" w:beforeAutospacing="1" w:after="100" w:afterAutospacing="1"/>
    </w:pPr>
    <w:rPr>
      <w:sz w:val="24"/>
      <w:szCs w:val="24"/>
      <w:lang w:eastAsia="it-IT"/>
    </w:rPr>
  </w:style>
  <w:style w:type="character" w:customStyle="1" w:styleId="cf01">
    <w:name w:val="cf01"/>
    <w:basedOn w:val="Carpredefinitoparagrafo"/>
    <w:rsid w:val="009B1905"/>
    <w:rPr>
      <w:rFonts w:ascii="Segoe UI" w:hAnsi="Segoe UI" w:cs="Segoe UI" w:hint="default"/>
      <w:sz w:val="18"/>
      <w:szCs w:val="18"/>
    </w:rPr>
  </w:style>
  <w:style w:type="paragraph" w:styleId="Paragrafoelenco">
    <w:name w:val="List Paragraph"/>
    <w:basedOn w:val="Normale"/>
    <w:uiPriority w:val="1"/>
    <w:qFormat/>
    <w:rsid w:val="009B1905"/>
    <w:pPr>
      <w:ind w:left="383" w:right="118" w:hanging="284"/>
      <w:jc w:val="both"/>
    </w:pPr>
  </w:style>
  <w:style w:type="character" w:styleId="Rimandocommento">
    <w:name w:val="annotation reference"/>
    <w:basedOn w:val="Carpredefinitoparagrafo"/>
    <w:uiPriority w:val="99"/>
    <w:semiHidden/>
    <w:unhideWhenUsed/>
    <w:rsid w:val="009B1905"/>
    <w:rPr>
      <w:sz w:val="16"/>
      <w:szCs w:val="16"/>
    </w:rPr>
  </w:style>
  <w:style w:type="paragraph" w:styleId="Testocommento">
    <w:name w:val="annotation text"/>
    <w:basedOn w:val="Normale"/>
    <w:link w:val="TestocommentoCarattere"/>
    <w:uiPriority w:val="99"/>
    <w:unhideWhenUsed/>
    <w:rsid w:val="009B1905"/>
    <w:rPr>
      <w:sz w:val="20"/>
      <w:szCs w:val="20"/>
    </w:rPr>
  </w:style>
  <w:style w:type="character" w:customStyle="1" w:styleId="TestocommentoCarattere">
    <w:name w:val="Testo commento Carattere"/>
    <w:basedOn w:val="Carpredefinitoparagrafo"/>
    <w:link w:val="Testocommento"/>
    <w:uiPriority w:val="99"/>
    <w:rsid w:val="009B1905"/>
    <w:rPr>
      <w:rFonts w:ascii="Times New Roman" w:eastAsia="Times New Roman" w:hAnsi="Times New Roman" w:cs="Times New Roman"/>
      <w:kern w:val="0"/>
      <w:sz w:val="20"/>
      <w:szCs w:val="20"/>
      <w14:ligatures w14:val="none"/>
    </w:rPr>
  </w:style>
  <w:style w:type="paragraph" w:styleId="Pidipagina">
    <w:name w:val="footer"/>
    <w:basedOn w:val="Normale"/>
    <w:link w:val="PidipaginaCarattere"/>
    <w:uiPriority w:val="99"/>
    <w:unhideWhenUsed/>
    <w:rsid w:val="009B1905"/>
    <w:pPr>
      <w:tabs>
        <w:tab w:val="center" w:pos="4819"/>
        <w:tab w:val="right" w:pos="9638"/>
      </w:tabs>
    </w:pPr>
  </w:style>
  <w:style w:type="character" w:customStyle="1" w:styleId="PidipaginaCarattere">
    <w:name w:val="Piè di pagina Carattere"/>
    <w:basedOn w:val="Carpredefinitoparagrafo"/>
    <w:link w:val="Pidipagina"/>
    <w:uiPriority w:val="99"/>
    <w:rsid w:val="009B1905"/>
    <w:rPr>
      <w:rFonts w:ascii="Times New Roman" w:eastAsia="Times New Roman" w:hAnsi="Times New Roman" w:cs="Times New Roman"/>
      <w:kern w:val="0"/>
      <w14:ligatures w14:val="none"/>
    </w:rPr>
  </w:style>
  <w:style w:type="paragraph" w:styleId="Soggettocommento">
    <w:name w:val="annotation subject"/>
    <w:basedOn w:val="Testocommento"/>
    <w:next w:val="Testocommento"/>
    <w:link w:val="SoggettocommentoCarattere"/>
    <w:uiPriority w:val="99"/>
    <w:semiHidden/>
    <w:unhideWhenUsed/>
    <w:rsid w:val="009B1905"/>
    <w:rPr>
      <w:b/>
      <w:bCs/>
    </w:rPr>
  </w:style>
  <w:style w:type="character" w:customStyle="1" w:styleId="SoggettocommentoCarattere">
    <w:name w:val="Soggetto commento Carattere"/>
    <w:basedOn w:val="TestocommentoCarattere"/>
    <w:link w:val="Soggettocommento"/>
    <w:uiPriority w:val="99"/>
    <w:semiHidden/>
    <w:rsid w:val="009B1905"/>
    <w:rPr>
      <w:rFonts w:ascii="Times New Roman" w:eastAsia="Times New Roman" w:hAnsi="Times New Roman" w:cs="Times New Roman"/>
      <w:b/>
      <w:bCs/>
      <w:kern w:val="0"/>
      <w:sz w:val="20"/>
      <w:szCs w:val="20"/>
      <w14:ligatures w14:val="none"/>
    </w:rPr>
  </w:style>
  <w:style w:type="paragraph" w:styleId="Nessunaspaziatura">
    <w:name w:val="No Spacing"/>
    <w:uiPriority w:val="1"/>
    <w:qFormat/>
    <w:rsid w:val="00684C31"/>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Testofumetto">
    <w:name w:val="Balloon Text"/>
    <w:basedOn w:val="Normale"/>
    <w:link w:val="TestofumettoCarattere"/>
    <w:uiPriority w:val="99"/>
    <w:semiHidden/>
    <w:unhideWhenUsed/>
    <w:rsid w:val="007677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6773F"/>
    <w:rPr>
      <w:rFonts w:ascii="Segoe UI" w:eastAsia="Times New Roman" w:hAnsi="Segoe UI" w:cs="Segoe UI"/>
      <w:kern w:val="0"/>
      <w:sz w:val="18"/>
      <w:szCs w:val="18"/>
      <w14:ligatures w14:val="none"/>
    </w:rPr>
  </w:style>
  <w:style w:type="paragraph" w:styleId="Intestazione">
    <w:name w:val="header"/>
    <w:basedOn w:val="Normale"/>
    <w:link w:val="IntestazioneCarattere"/>
    <w:uiPriority w:val="99"/>
    <w:unhideWhenUsed/>
    <w:rsid w:val="0076773F"/>
    <w:pPr>
      <w:tabs>
        <w:tab w:val="center" w:pos="4819"/>
        <w:tab w:val="right" w:pos="9638"/>
      </w:tabs>
    </w:pPr>
  </w:style>
  <w:style w:type="character" w:customStyle="1" w:styleId="IntestazioneCarattere">
    <w:name w:val="Intestazione Carattere"/>
    <w:basedOn w:val="Carpredefinitoparagrafo"/>
    <w:link w:val="Intestazione"/>
    <w:uiPriority w:val="99"/>
    <w:rsid w:val="0076773F"/>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14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67253-1BC9-4858-B8DF-AE89E82C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4288</Words>
  <Characters>24448</Characters>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2023-11-14T14:33:00Z</dcterms:created>
  <dcterms:modified xsi:type="dcterms:W3CDTF">2023-11-14T14:33:00Z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#000000,9,Calibri</vt:lpwstr>
  </property>
  <property fmtid="{D5CDD505-2E9C-101B-9397-08002B2CF9AE}" pid="4" name="ClassificationContentMarkingFooterText">
    <vt:lpwstr>CONFIDENTIAL</vt:lpwstr>
  </property>
  <property fmtid="{D5CDD505-2E9C-101B-9397-08002B2CF9AE}" pid="5" name="MSIP_Label_fe1eef50-f2cb-4513-bf6f-79090421ea7f_Enabled">
    <vt:lpwstr>true</vt:lpwstr>
  </property>
  <property fmtid="{D5CDD505-2E9C-101B-9397-08002B2CF9AE}" pid="6" name="MSIP_Label_fe1eef50-f2cb-4513-bf6f-79090421ea7f_SetDate">
    <vt:lpwstr>2023-10-24T19:26:56Z</vt:lpwstr>
  </property>
  <property fmtid="{D5CDD505-2E9C-101B-9397-08002B2CF9AE}" pid="7" name="MSIP_Label_fe1eef50-f2cb-4513-bf6f-79090421ea7f_Method">
    <vt:lpwstr>Privileged</vt:lpwstr>
  </property>
  <property fmtid="{D5CDD505-2E9C-101B-9397-08002B2CF9AE}" pid="8" name="MSIP_Label_fe1eef50-f2cb-4513-bf6f-79090421ea7f_Name">
    <vt:lpwstr>CONFIDENTIAL</vt:lpwstr>
  </property>
  <property fmtid="{D5CDD505-2E9C-101B-9397-08002B2CF9AE}" pid="9" name="MSIP_Label_fe1eef50-f2cb-4513-bf6f-79090421ea7f_SiteId">
    <vt:lpwstr>72d74aa2-ffea-4854-b246-6241845ee5ff</vt:lpwstr>
  </property>
  <property fmtid="{D5CDD505-2E9C-101B-9397-08002B2CF9AE}" pid="10" name="MSIP_Label_fe1eef50-f2cb-4513-bf6f-79090421ea7f_ActionId">
    <vt:lpwstr>09e6ee5f-d0c9-44b7-a2c4-8faafdac540d</vt:lpwstr>
  </property>
  <property fmtid="{D5CDD505-2E9C-101B-9397-08002B2CF9AE}" pid="11" name="MSIP_Label_fe1eef50-f2cb-4513-bf6f-79090421ea7f_ContentBits">
    <vt:lpwstr>2</vt:lpwstr>
  </property>
</Properties>
</file>