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0D" w:rsidRPr="0009220D" w:rsidRDefault="0009220D" w:rsidP="00191F16">
      <w:pPr>
        <w:pStyle w:val="p1"/>
        <w:jc w:val="both"/>
        <w:rPr>
          <w:b/>
        </w:rPr>
      </w:pPr>
      <w:r w:rsidRPr="0009220D">
        <w:rPr>
          <w:rStyle w:val="s1"/>
          <w:b/>
        </w:rPr>
        <w:t>RIORDINO DEL SETTORE DEL GIOCO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Proposta del Governo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proofErr w:type="gramStart"/>
      <w:r>
        <w:rPr>
          <w:rStyle w:val="s1"/>
        </w:rPr>
        <w:t>alla</w:t>
      </w:r>
      <w:proofErr w:type="gramEnd"/>
      <w:r>
        <w:rPr>
          <w:rStyle w:val="s1"/>
        </w:rPr>
        <w:t xml:space="preserve"> Conferenza unificata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PREMESSA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La Conferenza unificata ha avviato, il 5 Maggio scorso, il confronto sulla regolazione del settore dei giochi.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La legge di stabilità 2016 (articolo 1, comma 936) dispone, infatti, che, in sede di Conferenza unificata, siano definite: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a) le caratteristiche dei punti vendita ove si raccoglie gioco pubblico;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b) i criteri per la distribuzione e concentrazione territoriale dei punti vendita ove si raccoglie gioco pubblico.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La finalità delle relative scelte è quella “di garantire i migliori livelli di sicurezza per la tutela della salute, dell’ordine pubblico e della pubblica fede dei giocatori e di prevenire il rischio di accesso dei minori di età”.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GLI OBIETTIVI DA RAGGIUNGERE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 xml:space="preserve">In coerenza con questa impostazione l'obiettivo che si propone il Governo </w:t>
      </w:r>
      <w:proofErr w:type="gramStart"/>
      <w:r>
        <w:rPr>
          <w:rStyle w:val="s1"/>
        </w:rPr>
        <w:t>è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regolare</w:t>
      </w:r>
      <w:proofErr w:type="gramEnd"/>
      <w:r>
        <w:rPr>
          <w:rStyle w:val="s1"/>
        </w:rPr>
        <w:t xml:space="preserve"> la distribuzione dell'offerta di gioco diffusa nel territorio, tenendo conto delle accresciute esigenze sociali.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Nel passato, nel tentativo, giusto, di porre argine alla diffusione incontrollata dell’offerta di gioco illegale, si è pensato che bastasse aumentare quello legale moltiplicando l’offerta nel territorio, in particolare delle slot. Tutto ciò ha indotto a scelte, in generale restrittive, messe in atto dagli enti locali.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A fronte di questo quadro la soluzione prospettata dal Governo è quella di ridurre l’offerta di gioco pubblico e, dunque, l'esposizione dello Stato, in un settore che se, da un lato, garantisce importanti entrate erariali (8,7 miliardi nel 2015; 4,5 miliardi dai soli apparecchi slot), dall'altro misura conseguenze sociali che non possono più essere trascurate.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LE SCELTE GIÀ FATTE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lastRenderedPageBreak/>
        <w:t>Nel percorso in parte tracciato dall'articolo 14 della delega fiscale abbiamo provveduto ad adottare, nella legge di stabilità 2016, alcuni provvedimenti coerenti con la suddetta impostazione e in particolare: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la riduzione di almeno il 30% delle AWP in circolazione, attraverso la riduzione effettiva delle macchine disponibili;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la determinazione di un numero massimo consentito di 10.000 sale e di 5</w:t>
      </w:r>
      <w:r w:rsidR="00514492">
        <w:rPr>
          <w:rStyle w:val="s1"/>
        </w:rPr>
        <w:t>.</w:t>
      </w:r>
      <w:r>
        <w:rPr>
          <w:rStyle w:val="s1"/>
        </w:rPr>
        <w:t>000 corner per le scommesse, con la conseguente c</w:t>
      </w:r>
      <w:r w:rsidR="00514492">
        <w:rPr>
          <w:rStyle w:val="s1"/>
        </w:rPr>
        <w:t>oncentrazione dei punti vendita;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il passaggio alle AWP esclusivamente da remoto (upgrade tecnologico);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la drastica riduzione degli spazi pubblicitari;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l'innalzamento del PREU.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GLI ULTERIORI PASSI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Si tratta ora di concludere, con una intesa, il confronto con gli enti locali.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 xml:space="preserve">A tale scopo il Governo propone una serie di misure il cui fine è quello di realizzare una forte riduzione dell'offerta attraverso una sensibile contrazione e concentrazione dei punti vendita e un innalzamento dei loro standard qualitativi in un’ottica di contrasto alla </w:t>
      </w:r>
      <w:proofErr w:type="spellStart"/>
      <w:r>
        <w:rPr>
          <w:rStyle w:val="s1"/>
        </w:rPr>
        <w:t>ludopatia</w:t>
      </w:r>
      <w:proofErr w:type="spellEnd"/>
      <w:r>
        <w:rPr>
          <w:rStyle w:val="s1"/>
        </w:rPr>
        <w:t>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LA PROPOSTA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La proposta del Governo, anche dopo i vari incontri con gli Enti locali e tenendo conto delle istanze da loro formulate, si articola come segue: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&gt; 1) ridurre l'offerta di gioco, sia dei volumi che dei punti vendita.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Attraverso: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la eliminazione</w:t>
      </w:r>
      <w:r w:rsidR="00514492">
        <w:rPr>
          <w:rStyle w:val="apple-converted-space"/>
          <w:rFonts w:ascii=".SFUIText" w:hAnsi=".SFUIText"/>
          <w:sz w:val="34"/>
          <w:szCs w:val="34"/>
        </w:rPr>
        <w:t> </w:t>
      </w:r>
      <w:r>
        <w:rPr>
          <w:rStyle w:val="s1"/>
        </w:rPr>
        <w:t>dell’offerta di gioco dai c.d. esercizi generalisti secondari (alberghi, esercizi commerciali, edicole, ristoranti, stabilimenti balneari, rifugi alpini, e altri);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la eliminazione progressiva delle AWP nei pubblici esercizi (bar) e nelle rivendite di tabacchi.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Pr="000A09C2" w:rsidRDefault="0009220D" w:rsidP="00191F16">
      <w:pPr>
        <w:pStyle w:val="p1"/>
        <w:jc w:val="both"/>
        <w:rPr>
          <w:b/>
        </w:rPr>
      </w:pPr>
      <w:r>
        <w:rPr>
          <w:rStyle w:val="s1"/>
        </w:rPr>
        <w:t>•</w:t>
      </w:r>
      <w:r w:rsidR="00116C4A">
        <w:rPr>
          <w:rStyle w:val="s1"/>
        </w:rPr>
        <w:t xml:space="preserve"> allo scopo di rendere credibili</w:t>
      </w:r>
      <w:r>
        <w:rPr>
          <w:rStyle w:val="s1"/>
        </w:rPr>
        <w:t xml:space="preserve"> questi obiettivi proponiamo di anticipare</w:t>
      </w:r>
      <w:r w:rsidR="000A7353">
        <w:rPr>
          <w:rStyle w:val="s1"/>
        </w:rPr>
        <w:t xml:space="preserve"> (con un emendamento alla legge di bilancio)</w:t>
      </w:r>
      <w:r>
        <w:rPr>
          <w:rStyle w:val="s1"/>
        </w:rPr>
        <w:t xml:space="preserve"> al 31 dicembre 2017 la prevista riduzione di almeno il 30% delle </w:t>
      </w:r>
      <w:proofErr w:type="spellStart"/>
      <w:r>
        <w:rPr>
          <w:rStyle w:val="s1"/>
        </w:rPr>
        <w:t>Awp</w:t>
      </w:r>
      <w:proofErr w:type="spellEnd"/>
      <w:r>
        <w:rPr>
          <w:rStyle w:val="s1"/>
        </w:rPr>
        <w:t>, a partire dai generalisti sec</w:t>
      </w:r>
      <w:r w:rsidR="00116C4A">
        <w:rPr>
          <w:rStyle w:val="s1"/>
        </w:rPr>
        <w:t xml:space="preserve">ondari e dai bar e dai tabacchi, </w:t>
      </w:r>
      <w:r w:rsidR="00116C4A" w:rsidRPr="000A09C2">
        <w:rPr>
          <w:rStyle w:val="s1"/>
          <w:b/>
        </w:rPr>
        <w:t xml:space="preserve">con criteri dimensionali </w:t>
      </w:r>
      <w:r w:rsidR="00116C4A" w:rsidRPr="000A09C2">
        <w:rPr>
          <w:rStyle w:val="s1"/>
          <w:b/>
        </w:rPr>
        <w:lastRenderedPageBreak/>
        <w:t>relativi alla superficie dei locali da definire con decreto del Ministro dell’Economia e delle finanze entro il 28 febbraio 2017</w:t>
      </w:r>
      <w:r w:rsidR="000A7353">
        <w:rPr>
          <w:rStyle w:val="s1"/>
          <w:b/>
        </w:rPr>
        <w:t xml:space="preserve">. 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  <w:rPr>
          <w:rStyle w:val="s1"/>
        </w:rPr>
      </w:pPr>
      <w:r>
        <w:rPr>
          <w:rStyle w:val="s1"/>
        </w:rPr>
        <w:t>I punti vendita oggi abilitati alla installazione di AWP (non tutti necessariamente ne deteng</w:t>
      </w:r>
      <w:r w:rsidR="000A7353">
        <w:rPr>
          <w:rStyle w:val="s1"/>
        </w:rPr>
        <w:t xml:space="preserve">ono attualmente) sono </w:t>
      </w:r>
      <w:r w:rsidR="007D3A59">
        <w:rPr>
          <w:rStyle w:val="s1"/>
        </w:rPr>
        <w:t>98.6</w:t>
      </w:r>
      <w:r>
        <w:rPr>
          <w:rStyle w:val="s1"/>
        </w:rPr>
        <w:t>00</w:t>
      </w:r>
      <w:r w:rsidR="000A7353">
        <w:rPr>
          <w:rStyle w:val="s1"/>
        </w:rPr>
        <w:t xml:space="preserve"> </w:t>
      </w:r>
      <w:proofErr w:type="spellStart"/>
      <w:r w:rsidR="000A7353">
        <w:rPr>
          <w:rStyle w:val="s1"/>
        </w:rPr>
        <w:t>ca</w:t>
      </w:r>
      <w:proofErr w:type="spellEnd"/>
      <w:r>
        <w:rPr>
          <w:rStyle w:val="s1"/>
        </w:rPr>
        <w:t>, così suddivisi:</w:t>
      </w:r>
    </w:p>
    <w:p w:rsidR="007D3A59" w:rsidRDefault="007D3A59" w:rsidP="00191F16">
      <w:pPr>
        <w:pStyle w:val="p1"/>
        <w:jc w:val="both"/>
        <w:rPr>
          <w:rStyle w:val="s1"/>
        </w:rPr>
      </w:pPr>
    </w:p>
    <w:p w:rsidR="007D3A59" w:rsidRPr="007D3A59" w:rsidRDefault="000A7353" w:rsidP="007D3A59">
      <w:pPr>
        <w:pStyle w:val="p1"/>
        <w:numPr>
          <w:ilvl w:val="0"/>
          <w:numId w:val="8"/>
        </w:numPr>
        <w:jc w:val="both"/>
        <w:rPr>
          <w:rStyle w:val="s1"/>
          <w:rFonts w:ascii=".SF UI Text" w:hAnsi=".SF UI Text"/>
          <w:sz w:val="26"/>
          <w:szCs w:val="26"/>
        </w:rPr>
      </w:pPr>
      <w:r>
        <w:rPr>
          <w:rStyle w:val="s1"/>
        </w:rPr>
        <w:t xml:space="preserve">69.000 </w:t>
      </w:r>
      <w:proofErr w:type="spellStart"/>
      <w:r>
        <w:rPr>
          <w:rStyle w:val="s1"/>
        </w:rPr>
        <w:t>ca</w:t>
      </w:r>
      <w:proofErr w:type="spellEnd"/>
      <w:r w:rsidR="007D3A59">
        <w:rPr>
          <w:rStyle w:val="s1"/>
        </w:rPr>
        <w:t xml:space="preserve"> </w:t>
      </w:r>
      <w:r>
        <w:rPr>
          <w:rStyle w:val="s1"/>
        </w:rPr>
        <w:t>tra bar e tabacchi (di cui</w:t>
      </w:r>
      <w:r w:rsidR="007D3A59">
        <w:rPr>
          <w:rStyle w:val="s1"/>
        </w:rPr>
        <w:t xml:space="preserve"> 56.000 bar</w:t>
      </w:r>
      <w:r>
        <w:rPr>
          <w:rStyle w:val="s1"/>
        </w:rPr>
        <w:t xml:space="preserve"> </w:t>
      </w:r>
      <w:proofErr w:type="spellStart"/>
      <w:r>
        <w:rPr>
          <w:rStyle w:val="s1"/>
        </w:rPr>
        <w:t>ca</w:t>
      </w:r>
      <w:proofErr w:type="spellEnd"/>
      <w:r w:rsidR="007D3A59">
        <w:rPr>
          <w:rStyle w:val="s1"/>
        </w:rPr>
        <w:t xml:space="preserve"> e oltre 13.000 tabacchi);</w:t>
      </w:r>
    </w:p>
    <w:p w:rsidR="007D3A59" w:rsidRPr="007D3A59" w:rsidRDefault="007D3A59" w:rsidP="007D3A59">
      <w:pPr>
        <w:pStyle w:val="p1"/>
        <w:numPr>
          <w:ilvl w:val="0"/>
          <w:numId w:val="8"/>
        </w:numPr>
        <w:jc w:val="both"/>
        <w:rPr>
          <w:rStyle w:val="s1"/>
          <w:rFonts w:ascii=".SF UI Text" w:hAnsi=".SF UI Text"/>
          <w:sz w:val="26"/>
          <w:szCs w:val="26"/>
        </w:rPr>
      </w:pPr>
      <w:r>
        <w:rPr>
          <w:rStyle w:val="s1"/>
        </w:rPr>
        <w:t xml:space="preserve">29.600 </w:t>
      </w:r>
      <w:proofErr w:type="spellStart"/>
      <w:r w:rsidR="000A7353">
        <w:rPr>
          <w:rStyle w:val="s1"/>
        </w:rPr>
        <w:t>ca</w:t>
      </w:r>
      <w:proofErr w:type="spellEnd"/>
      <w:r w:rsidR="000A7353">
        <w:rPr>
          <w:rStyle w:val="s1"/>
        </w:rPr>
        <w:t xml:space="preserve"> </w:t>
      </w:r>
      <w:r>
        <w:rPr>
          <w:rStyle w:val="s1"/>
        </w:rPr>
        <w:t>sale e punti gioco così suddivisi:</w:t>
      </w:r>
    </w:p>
    <w:p w:rsidR="007D3A59" w:rsidRDefault="007D3A59" w:rsidP="007D3A59">
      <w:pPr>
        <w:pStyle w:val="p1"/>
        <w:ind w:left="720"/>
        <w:jc w:val="both"/>
        <w:rPr>
          <w:rStyle w:val="s1"/>
        </w:rPr>
      </w:pPr>
    </w:p>
    <w:p w:rsidR="0009220D" w:rsidRPr="007D3A59" w:rsidRDefault="000A7353" w:rsidP="007D3A59">
      <w:pPr>
        <w:pStyle w:val="p1"/>
        <w:numPr>
          <w:ilvl w:val="0"/>
          <w:numId w:val="9"/>
        </w:numPr>
        <w:jc w:val="both"/>
        <w:rPr>
          <w:rStyle w:val="apple-converted-space"/>
        </w:rPr>
      </w:pPr>
      <w:r>
        <w:rPr>
          <w:rStyle w:val="s1"/>
        </w:rPr>
        <w:t xml:space="preserve">8.000 </w:t>
      </w:r>
      <w:proofErr w:type="spellStart"/>
      <w:r>
        <w:rPr>
          <w:rStyle w:val="s1"/>
        </w:rPr>
        <w:t>c</w:t>
      </w:r>
      <w:r w:rsidR="0009220D">
        <w:rPr>
          <w:rStyle w:val="s1"/>
        </w:rPr>
        <w:t>a</w:t>
      </w:r>
      <w:proofErr w:type="spellEnd"/>
      <w:r w:rsidR="007D3A59">
        <w:rPr>
          <w:rStyle w:val="s1"/>
        </w:rPr>
        <w:t xml:space="preserve"> esercizi generalisti secondari,</w:t>
      </w:r>
    </w:p>
    <w:p w:rsidR="007D3A59" w:rsidRPr="007D3A59" w:rsidRDefault="007D3A59" w:rsidP="007D3A59">
      <w:pPr>
        <w:pStyle w:val="p1"/>
        <w:numPr>
          <w:ilvl w:val="0"/>
          <w:numId w:val="9"/>
        </w:numPr>
        <w:jc w:val="both"/>
        <w:rPr>
          <w:rStyle w:val="s1"/>
          <w:rFonts w:ascii=".SF UI Text" w:hAnsi=".SF UI Text"/>
          <w:sz w:val="26"/>
          <w:szCs w:val="26"/>
        </w:rPr>
      </w:pPr>
      <w:r>
        <w:rPr>
          <w:rStyle w:val="s1"/>
        </w:rPr>
        <w:t>2</w:t>
      </w:r>
      <w:r w:rsidR="00514492">
        <w:rPr>
          <w:rStyle w:val="s1"/>
        </w:rPr>
        <w:t>.</w:t>
      </w:r>
      <w:r>
        <w:rPr>
          <w:rStyle w:val="s1"/>
        </w:rPr>
        <w:t>80</w:t>
      </w:r>
      <w:r w:rsidR="000A7353">
        <w:rPr>
          <w:rStyle w:val="s1"/>
        </w:rPr>
        <w:t xml:space="preserve">0 </w:t>
      </w:r>
      <w:proofErr w:type="spellStart"/>
      <w:r w:rsidR="000A7353">
        <w:rPr>
          <w:rStyle w:val="s1"/>
        </w:rPr>
        <w:t>c</w:t>
      </w:r>
      <w:r>
        <w:rPr>
          <w:rStyle w:val="s1"/>
        </w:rPr>
        <w:t>a</w:t>
      </w:r>
      <w:proofErr w:type="spellEnd"/>
      <w:r>
        <w:rPr>
          <w:rStyle w:val="s1"/>
        </w:rPr>
        <w:t xml:space="preserve"> sale VLT, </w:t>
      </w:r>
    </w:p>
    <w:p w:rsidR="007D3A59" w:rsidRDefault="000A7353" w:rsidP="007D3A59">
      <w:pPr>
        <w:pStyle w:val="p1"/>
        <w:numPr>
          <w:ilvl w:val="0"/>
          <w:numId w:val="9"/>
        </w:numPr>
        <w:jc w:val="both"/>
      </w:pPr>
      <w:r>
        <w:rPr>
          <w:rStyle w:val="s1"/>
        </w:rPr>
        <w:t xml:space="preserve"> 200 </w:t>
      </w:r>
      <w:proofErr w:type="spellStart"/>
      <w:r>
        <w:rPr>
          <w:rStyle w:val="s1"/>
        </w:rPr>
        <w:t>c</w:t>
      </w:r>
      <w:r w:rsidR="007D3A59">
        <w:rPr>
          <w:rStyle w:val="s1"/>
        </w:rPr>
        <w:t>a</w:t>
      </w:r>
      <w:proofErr w:type="spellEnd"/>
      <w:r w:rsidR="007D3A59">
        <w:rPr>
          <w:rStyle w:val="s1"/>
        </w:rPr>
        <w:t xml:space="preserve"> sale Bingo,</w:t>
      </w:r>
    </w:p>
    <w:p w:rsidR="0009220D" w:rsidRDefault="000A7353" w:rsidP="00191F16">
      <w:pPr>
        <w:pStyle w:val="p1"/>
        <w:numPr>
          <w:ilvl w:val="0"/>
          <w:numId w:val="9"/>
        </w:numPr>
        <w:jc w:val="both"/>
      </w:pPr>
      <w:r>
        <w:rPr>
          <w:rStyle w:val="s1"/>
        </w:rPr>
        <w:t xml:space="preserve">5.000 </w:t>
      </w:r>
      <w:proofErr w:type="spellStart"/>
      <w:r>
        <w:rPr>
          <w:rStyle w:val="s1"/>
        </w:rPr>
        <w:t>c</w:t>
      </w:r>
      <w:r w:rsidR="0009220D">
        <w:rPr>
          <w:rStyle w:val="s1"/>
        </w:rPr>
        <w:t>a</w:t>
      </w:r>
      <w:proofErr w:type="spellEnd"/>
      <w:r w:rsidR="0009220D">
        <w:rPr>
          <w:rStyle w:val="s1"/>
        </w:rPr>
        <w:t xml:space="preserve"> sale giochi</w:t>
      </w:r>
      <w:r w:rsidR="007D3A59">
        <w:rPr>
          <w:rStyle w:val="s1"/>
        </w:rPr>
        <w:t>,</w:t>
      </w:r>
    </w:p>
    <w:p w:rsidR="0009220D" w:rsidRPr="007D3A59" w:rsidRDefault="007D3A59" w:rsidP="007D3A59">
      <w:pPr>
        <w:pStyle w:val="p1"/>
        <w:numPr>
          <w:ilvl w:val="0"/>
          <w:numId w:val="9"/>
        </w:numPr>
        <w:jc w:val="both"/>
        <w:rPr>
          <w:rStyle w:val="s1"/>
          <w:rFonts w:ascii=".SF UI Text" w:hAnsi=".SF UI Text"/>
          <w:sz w:val="26"/>
          <w:szCs w:val="26"/>
        </w:rPr>
      </w:pPr>
      <w:r>
        <w:rPr>
          <w:rStyle w:val="s1"/>
        </w:rPr>
        <w:t xml:space="preserve">5.600 </w:t>
      </w:r>
      <w:proofErr w:type="spellStart"/>
      <w:r w:rsidR="000A7353">
        <w:rPr>
          <w:rStyle w:val="s1"/>
        </w:rPr>
        <w:t>ca</w:t>
      </w:r>
      <w:proofErr w:type="spellEnd"/>
      <w:r w:rsidR="000A7353">
        <w:rPr>
          <w:rStyle w:val="s1"/>
        </w:rPr>
        <w:t xml:space="preserve"> </w:t>
      </w:r>
      <w:r>
        <w:rPr>
          <w:rStyle w:val="s1"/>
        </w:rPr>
        <w:t>negozi,</w:t>
      </w:r>
    </w:p>
    <w:p w:rsidR="007D3A59" w:rsidRDefault="007D3A59" w:rsidP="007D3A59">
      <w:pPr>
        <w:pStyle w:val="p1"/>
        <w:numPr>
          <w:ilvl w:val="0"/>
          <w:numId w:val="9"/>
        </w:numPr>
        <w:jc w:val="both"/>
      </w:pPr>
      <w:r>
        <w:rPr>
          <w:rStyle w:val="s1"/>
        </w:rPr>
        <w:t>8</w:t>
      </w:r>
      <w:r w:rsidR="00514492">
        <w:rPr>
          <w:rStyle w:val="s1"/>
        </w:rPr>
        <w:t>.</w:t>
      </w:r>
      <w:r>
        <w:rPr>
          <w:rStyle w:val="s1"/>
        </w:rPr>
        <w:t xml:space="preserve">000 </w:t>
      </w:r>
      <w:proofErr w:type="spellStart"/>
      <w:r w:rsidR="000A7353">
        <w:rPr>
          <w:rStyle w:val="s1"/>
        </w:rPr>
        <w:t>ca</w:t>
      </w:r>
      <w:proofErr w:type="spellEnd"/>
      <w:r w:rsidR="000A7353">
        <w:rPr>
          <w:rStyle w:val="s1"/>
        </w:rPr>
        <w:t xml:space="preserve"> </w:t>
      </w:r>
      <w:r>
        <w:rPr>
          <w:rStyle w:val="s1"/>
        </w:rPr>
        <w:t>corner.</w:t>
      </w:r>
    </w:p>
    <w:p w:rsidR="0009220D" w:rsidRDefault="0009220D" w:rsidP="00191F16">
      <w:pPr>
        <w:pStyle w:val="p2"/>
        <w:jc w:val="both"/>
      </w:pPr>
    </w:p>
    <w:p w:rsidR="0009220D" w:rsidRDefault="0009220D" w:rsidP="00191F16">
      <w:pPr>
        <w:pStyle w:val="p1"/>
        <w:jc w:val="both"/>
      </w:pPr>
      <w:r>
        <w:rPr>
          <w:rStyle w:val="s1"/>
        </w:rPr>
        <w:t>L'effetto del provvedime</w:t>
      </w:r>
      <w:r w:rsidR="00514492">
        <w:rPr>
          <w:rStyle w:val="s1"/>
        </w:rPr>
        <w:t>nto di anticipazione al 2017 del</w:t>
      </w:r>
      <w:r>
        <w:rPr>
          <w:rStyle w:val="s1"/>
        </w:rPr>
        <w:t xml:space="preserve">la riduzione di AWP, a cominciare dai bar e tabacchi e dai generalisti secondari, comporta, in un anno, </w:t>
      </w:r>
      <w:r w:rsidR="00514492">
        <w:rPr>
          <w:rStyle w:val="s1"/>
        </w:rPr>
        <w:t xml:space="preserve">come </w:t>
      </w:r>
      <w:proofErr w:type="gramStart"/>
      <w:r w:rsidR="00514492">
        <w:rPr>
          <w:rStyle w:val="s1"/>
        </w:rPr>
        <w:t>evidenziato  nella</w:t>
      </w:r>
      <w:proofErr w:type="gramEnd"/>
      <w:r w:rsidR="00514492">
        <w:rPr>
          <w:rStyle w:val="s1"/>
        </w:rPr>
        <w:t xml:space="preserve"> tabella di seguito riportata, la riduzione a 264.674</w:t>
      </w:r>
      <w:r>
        <w:rPr>
          <w:rStyle w:val="s1"/>
        </w:rPr>
        <w:t xml:space="preserve"> macchine</w:t>
      </w:r>
      <w:r w:rsidR="00514492">
        <w:rPr>
          <w:rStyle w:val="s1"/>
        </w:rPr>
        <w:t xml:space="preserve"> </w:t>
      </w:r>
      <w:proofErr w:type="spellStart"/>
      <w:r w:rsidR="00514492">
        <w:rPr>
          <w:rStyle w:val="s1"/>
        </w:rPr>
        <w:t>ca</w:t>
      </w:r>
      <w:proofErr w:type="spellEnd"/>
      <w:r>
        <w:rPr>
          <w:rStyle w:val="s1"/>
        </w:rPr>
        <w:t xml:space="preserve"> (</w:t>
      </w:r>
      <w:r w:rsidR="00514492">
        <w:rPr>
          <w:rStyle w:val="s1"/>
        </w:rPr>
        <w:t xml:space="preserve">in quanto il 30% si applica  ai 378.109 </w:t>
      </w:r>
      <w:proofErr w:type="spellStart"/>
      <w:r w:rsidR="00514492">
        <w:rPr>
          <w:rStyle w:val="s1"/>
        </w:rPr>
        <w:t>ca</w:t>
      </w:r>
      <w:proofErr w:type="spellEnd"/>
      <w:r>
        <w:rPr>
          <w:rStyle w:val="s1"/>
        </w:rPr>
        <w:t xml:space="preserve"> apparecchi esistenti al 31 luglio 2015). Considerando che attualmente gli apparecchi p</w:t>
      </w:r>
      <w:r w:rsidR="00514492">
        <w:rPr>
          <w:rStyle w:val="s1"/>
        </w:rPr>
        <w:t xml:space="preserve">resenti sul mercato sono 397.211 </w:t>
      </w:r>
      <w:proofErr w:type="spellStart"/>
      <w:r w:rsidR="00514492">
        <w:rPr>
          <w:rStyle w:val="s1"/>
        </w:rPr>
        <w:t>ca</w:t>
      </w:r>
      <w:proofErr w:type="spellEnd"/>
      <w:r>
        <w:rPr>
          <w:rStyle w:val="s1"/>
        </w:rPr>
        <w:t xml:space="preserve">, la riduzione effettiva </w:t>
      </w:r>
      <w:proofErr w:type="spellStart"/>
      <w:r>
        <w:rPr>
          <w:rStyle w:val="s1"/>
        </w:rPr>
        <w:t>sará</w:t>
      </w:r>
      <w:proofErr w:type="spellEnd"/>
      <w:r>
        <w:rPr>
          <w:rStyle w:val="s1"/>
        </w:rPr>
        <w:t xml:space="preserve"> di oltre il 33%.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  <w:rPr>
          <w:rStyle w:val="s1"/>
        </w:rPr>
      </w:pPr>
      <w:r>
        <w:rPr>
          <w:rStyle w:val="s1"/>
        </w:rPr>
        <w:t xml:space="preserve">Ciò significa togliere </w:t>
      </w:r>
      <w:proofErr w:type="spellStart"/>
      <w:r w:rsidR="00514492">
        <w:rPr>
          <w:rStyle w:val="s1"/>
        </w:rPr>
        <w:t>definitavamente</w:t>
      </w:r>
      <w:proofErr w:type="spellEnd"/>
      <w:r w:rsidR="00514492">
        <w:rPr>
          <w:rStyle w:val="s1"/>
        </w:rPr>
        <w:t xml:space="preserve"> dal </w:t>
      </w:r>
      <w:proofErr w:type="gramStart"/>
      <w:r w:rsidR="00514492">
        <w:rPr>
          <w:rStyle w:val="s1"/>
        </w:rPr>
        <w:t>mercato  132.537</w:t>
      </w:r>
      <w:proofErr w:type="gramEnd"/>
      <w:r w:rsidR="00514492">
        <w:rPr>
          <w:rStyle w:val="s1"/>
        </w:rPr>
        <w:t xml:space="preserve"> </w:t>
      </w:r>
      <w:proofErr w:type="spellStart"/>
      <w:r w:rsidR="00514492">
        <w:rPr>
          <w:rStyle w:val="s1"/>
        </w:rPr>
        <w:t>ca</w:t>
      </w:r>
      <w:proofErr w:type="spellEnd"/>
      <w:r w:rsidR="00514492">
        <w:rPr>
          <w:rStyle w:val="s1"/>
        </w:rPr>
        <w:t xml:space="preserve"> macchine così suddivise:</w:t>
      </w:r>
      <w:r>
        <w:rPr>
          <w:rStyle w:val="s1"/>
        </w:rPr>
        <w:t xml:space="preserve"> 114.000 </w:t>
      </w:r>
      <w:proofErr w:type="spellStart"/>
      <w:r w:rsidR="00514492">
        <w:rPr>
          <w:rStyle w:val="s1"/>
        </w:rPr>
        <w:t>ca</w:t>
      </w:r>
      <w:proofErr w:type="spellEnd"/>
      <w:r w:rsidR="00514492">
        <w:rPr>
          <w:rStyle w:val="s1"/>
        </w:rPr>
        <w:t xml:space="preserve"> </w:t>
      </w:r>
      <w:r>
        <w:rPr>
          <w:rStyle w:val="s1"/>
        </w:rPr>
        <w:t>AWP da bar e tabacchi (oggi ne sono install</w:t>
      </w:r>
      <w:r w:rsidR="00514492">
        <w:rPr>
          <w:rStyle w:val="s1"/>
        </w:rPr>
        <w:t xml:space="preserve">ate  221.000 </w:t>
      </w:r>
      <w:proofErr w:type="spellStart"/>
      <w:r w:rsidR="00514492">
        <w:rPr>
          <w:rStyle w:val="s1"/>
        </w:rPr>
        <w:t>ca</w:t>
      </w:r>
      <w:proofErr w:type="spellEnd"/>
      <w:r w:rsidR="00514492">
        <w:rPr>
          <w:rStyle w:val="s1"/>
        </w:rPr>
        <w:t xml:space="preserve">) e 19.000 </w:t>
      </w:r>
      <w:proofErr w:type="spellStart"/>
      <w:r w:rsidR="00514492">
        <w:rPr>
          <w:rStyle w:val="s1"/>
        </w:rPr>
        <w:t>c</w:t>
      </w:r>
      <w:r>
        <w:rPr>
          <w:rStyle w:val="s1"/>
        </w:rPr>
        <w:t>a</w:t>
      </w:r>
      <w:proofErr w:type="spellEnd"/>
      <w:r>
        <w:rPr>
          <w:rStyle w:val="s1"/>
        </w:rPr>
        <w:t xml:space="preserve"> dai generalisti secondari.</w:t>
      </w:r>
    </w:p>
    <w:p w:rsidR="000A7353" w:rsidRDefault="000A7353" w:rsidP="00191F16">
      <w:pPr>
        <w:pStyle w:val="p1"/>
        <w:jc w:val="both"/>
        <w:rPr>
          <w:rStyle w:val="s1"/>
        </w:rPr>
      </w:pPr>
    </w:p>
    <w:p w:rsidR="00116C4A" w:rsidRDefault="00116C4A" w:rsidP="00191F16">
      <w:pPr>
        <w:pStyle w:val="p1"/>
        <w:jc w:val="both"/>
        <w:rPr>
          <w:rStyle w:val="s1"/>
          <w:b/>
        </w:rPr>
      </w:pPr>
      <w:r w:rsidRPr="000A09C2">
        <w:rPr>
          <w:rStyle w:val="s1"/>
          <w:b/>
        </w:rPr>
        <w:t>Di conseguenza dal 1° gennaio 2018 il numero delle AWP sarà così distribuito sul territorio na</w:t>
      </w:r>
      <w:r w:rsidR="000A7353">
        <w:rPr>
          <w:rStyle w:val="s1"/>
          <w:b/>
        </w:rPr>
        <w:t>zionale:</w:t>
      </w:r>
    </w:p>
    <w:p w:rsidR="000A7353" w:rsidRDefault="000A7353" w:rsidP="00191F16">
      <w:pPr>
        <w:pStyle w:val="p1"/>
        <w:jc w:val="both"/>
        <w:rPr>
          <w:rStyle w:val="s1"/>
          <w:b/>
        </w:rPr>
      </w:pPr>
    </w:p>
    <w:p w:rsidR="000A7353" w:rsidRDefault="000A7353" w:rsidP="00191F16">
      <w:pPr>
        <w:pStyle w:val="p1"/>
        <w:jc w:val="both"/>
        <w:rPr>
          <w:rStyle w:val="s1"/>
          <w:b/>
        </w:rPr>
      </w:pPr>
    </w:p>
    <w:p w:rsidR="000A7353" w:rsidRDefault="000A7353" w:rsidP="00191F16">
      <w:pPr>
        <w:pStyle w:val="p1"/>
        <w:jc w:val="both"/>
        <w:rPr>
          <w:rStyle w:val="s1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753"/>
        <w:gridCol w:w="1753"/>
        <w:gridCol w:w="2201"/>
      </w:tblGrid>
      <w:tr w:rsidR="00514492" w:rsidRPr="00FF6E17" w:rsidTr="00514492">
        <w:trPr>
          <w:trHeight w:val="1559"/>
        </w:trPr>
        <w:tc>
          <w:tcPr>
            <w:tcW w:w="2093" w:type="dxa"/>
            <w:hideMark/>
          </w:tcPr>
          <w:p w:rsidR="00514492" w:rsidRPr="00FF6E17" w:rsidRDefault="00514492" w:rsidP="00FF6E17">
            <w:pPr>
              <w:pStyle w:val="p1"/>
              <w:rPr>
                <w:b/>
                <w:bCs/>
                <w:sz w:val="20"/>
                <w:szCs w:val="20"/>
              </w:rPr>
            </w:pPr>
            <w:r w:rsidRPr="00FF6E17">
              <w:rPr>
                <w:b/>
                <w:bCs/>
                <w:sz w:val="20"/>
                <w:szCs w:val="20"/>
              </w:rPr>
              <w:lastRenderedPageBreak/>
              <w:t>Regione</w:t>
            </w:r>
          </w:p>
        </w:tc>
        <w:tc>
          <w:tcPr>
            <w:tcW w:w="1753" w:type="dxa"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bCs/>
                <w:sz w:val="20"/>
                <w:szCs w:val="20"/>
              </w:rPr>
            </w:pPr>
            <w:r w:rsidRPr="00FF6E17">
              <w:rPr>
                <w:b/>
                <w:bCs/>
                <w:sz w:val="20"/>
                <w:szCs w:val="20"/>
              </w:rPr>
              <w:t>Nr. Apparecchi attivi in esercizio 31/7/2015</w:t>
            </w:r>
          </w:p>
        </w:tc>
        <w:tc>
          <w:tcPr>
            <w:tcW w:w="1753" w:type="dxa"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bCs/>
                <w:sz w:val="20"/>
                <w:szCs w:val="20"/>
              </w:rPr>
            </w:pPr>
            <w:r w:rsidRPr="00FF6E17">
              <w:rPr>
                <w:b/>
                <w:bCs/>
                <w:sz w:val="20"/>
                <w:szCs w:val="20"/>
              </w:rPr>
              <w:t>Nr. Apparecchi attivi in esercizio 9/11/2016</w:t>
            </w:r>
          </w:p>
        </w:tc>
        <w:tc>
          <w:tcPr>
            <w:tcW w:w="2201" w:type="dxa"/>
            <w:hideMark/>
          </w:tcPr>
          <w:p w:rsidR="00514492" w:rsidRDefault="00514492" w:rsidP="00FF6E17">
            <w:pPr>
              <w:pStyle w:val="p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Nr. Apparecchi attivi </w:t>
            </w:r>
          </w:p>
          <w:p w:rsidR="00514492" w:rsidRPr="00FF6E17" w:rsidRDefault="00514492" w:rsidP="00FF6E17">
            <w:pPr>
              <w:pStyle w:val="p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31.12.2017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ABRUZZO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10.201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10.717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7.141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BASILICATA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3.730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3.918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2.611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CALABRIA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16.853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17.705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11.797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CAMPANIA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39.171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41.151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27.420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EMILIA ROMAGNA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31.781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33.387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22.247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FRIULI VENEZIA GIULIA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8.466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8.894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5.926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LAZIO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37.831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39.743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26.482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LIGURIA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10.129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10.640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7.090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LOMBARDIA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58.790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61.757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41.151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MARCHE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9.396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9.871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6.577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MOLISE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2.449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2.573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1.714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PIEMONTE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27.284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28.663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19.099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PUGLIA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23.296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24.473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16.307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SARDEGNA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13.816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14.514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9.671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SICILIA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20.101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21.117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14.071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TOSCANA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22.941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24.100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16.059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TRENTINO ALTO ADIGE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4.020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4.223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2.814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UMBRIA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5.319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5.587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3.723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VAL D'AOSTA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749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787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524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VENETO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31.786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33.391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FF6E17">
              <w:rPr>
                <w:b/>
                <w:sz w:val="20"/>
                <w:szCs w:val="20"/>
              </w:rPr>
              <w:t>22.250</w:t>
            </w:r>
          </w:p>
        </w:tc>
      </w:tr>
      <w:tr w:rsidR="00514492" w:rsidRPr="00FF6E17" w:rsidTr="00514492">
        <w:trPr>
          <w:trHeight w:val="300"/>
        </w:trPr>
        <w:tc>
          <w:tcPr>
            <w:tcW w:w="2093" w:type="dxa"/>
            <w:noWrap/>
            <w:hideMark/>
          </w:tcPr>
          <w:p w:rsidR="00514492" w:rsidRPr="00FF6E17" w:rsidRDefault="00514492" w:rsidP="00FF6E17">
            <w:pPr>
              <w:pStyle w:val="p1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FF6E17">
              <w:rPr>
                <w:b/>
              </w:rPr>
              <w:t>otale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bCs/>
              </w:rPr>
            </w:pPr>
            <w:r w:rsidRPr="00FF6E17">
              <w:rPr>
                <w:b/>
                <w:bCs/>
              </w:rPr>
              <w:t>378.109</w:t>
            </w:r>
          </w:p>
        </w:tc>
        <w:tc>
          <w:tcPr>
            <w:tcW w:w="1753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bCs/>
              </w:rPr>
            </w:pPr>
            <w:r w:rsidRPr="00FF6E17">
              <w:rPr>
                <w:b/>
                <w:bCs/>
              </w:rPr>
              <w:t>397.211</w:t>
            </w:r>
          </w:p>
        </w:tc>
        <w:tc>
          <w:tcPr>
            <w:tcW w:w="2201" w:type="dxa"/>
            <w:noWrap/>
            <w:hideMark/>
          </w:tcPr>
          <w:p w:rsidR="00514492" w:rsidRPr="00FF6E17" w:rsidRDefault="00514492" w:rsidP="00FF6E17">
            <w:pPr>
              <w:pStyle w:val="p1"/>
              <w:jc w:val="center"/>
              <w:rPr>
                <w:b/>
                <w:bCs/>
              </w:rPr>
            </w:pPr>
            <w:r w:rsidRPr="00FF6E17">
              <w:rPr>
                <w:b/>
                <w:bCs/>
              </w:rPr>
              <w:t>264.674</w:t>
            </w:r>
          </w:p>
        </w:tc>
      </w:tr>
    </w:tbl>
    <w:p w:rsidR="00FF6E17" w:rsidRDefault="00FF6E17" w:rsidP="00191F16">
      <w:pPr>
        <w:pStyle w:val="p1"/>
        <w:jc w:val="both"/>
        <w:rPr>
          <w:rStyle w:val="s1"/>
        </w:rPr>
      </w:pPr>
    </w:p>
    <w:p w:rsidR="0009220D" w:rsidRDefault="00514492" w:rsidP="00191F16">
      <w:pPr>
        <w:pStyle w:val="p1"/>
        <w:jc w:val="both"/>
      </w:pPr>
      <w:r>
        <w:rPr>
          <w:rStyle w:val="s1"/>
        </w:rPr>
        <w:t>Tutto c</w:t>
      </w:r>
      <w:r w:rsidR="0009220D">
        <w:rPr>
          <w:rStyle w:val="s1"/>
        </w:rPr>
        <w:t>iò comporta</w:t>
      </w:r>
      <w:r>
        <w:rPr>
          <w:rStyle w:val="s1"/>
        </w:rPr>
        <w:t xml:space="preserve"> anche</w:t>
      </w:r>
      <w:r w:rsidR="0009220D">
        <w:rPr>
          <w:rStyle w:val="s1"/>
        </w:rPr>
        <w:t xml:space="preserve"> la realistica previsione di riduzione di circa il 30/35% complessivo dei punti vendita tra bar e tabacchi </w:t>
      </w:r>
      <w:r>
        <w:rPr>
          <w:rStyle w:val="s1"/>
        </w:rPr>
        <w:t>e generalisti secondari</w:t>
      </w:r>
      <w:r w:rsidR="0009220D">
        <w:rPr>
          <w:rStyle w:val="apple-converted-space"/>
          <w:rFonts w:ascii=".SFUIText" w:hAnsi=".SFUIText"/>
          <w:sz w:val="34"/>
          <w:szCs w:val="34"/>
        </w:rPr>
        <w:t> </w:t>
      </w:r>
      <w:r>
        <w:rPr>
          <w:rStyle w:val="s1"/>
        </w:rPr>
        <w:t xml:space="preserve">che ospitano </w:t>
      </w:r>
      <w:proofErr w:type="spellStart"/>
      <w:r>
        <w:rPr>
          <w:rStyle w:val="s1"/>
        </w:rPr>
        <w:t>Awp</w:t>
      </w:r>
      <w:proofErr w:type="spellEnd"/>
      <w:r>
        <w:rPr>
          <w:rStyle w:val="s1"/>
        </w:rPr>
        <w:t>.</w:t>
      </w:r>
    </w:p>
    <w:p w:rsidR="0009220D" w:rsidRDefault="0009220D" w:rsidP="00191F16">
      <w:pPr>
        <w:pStyle w:val="p2"/>
        <w:jc w:val="both"/>
      </w:pPr>
    </w:p>
    <w:p w:rsidR="0009220D" w:rsidRDefault="0009220D" w:rsidP="00191F16">
      <w:pPr>
        <w:pStyle w:val="p1"/>
        <w:jc w:val="both"/>
        <w:rPr>
          <w:rStyle w:val="apple-converted-space"/>
          <w:rFonts w:ascii=".SFUIText" w:hAnsi=".SFUIText"/>
          <w:sz w:val="34"/>
          <w:szCs w:val="34"/>
        </w:rPr>
      </w:pPr>
      <w:r>
        <w:rPr>
          <w:rStyle w:val="s1"/>
        </w:rPr>
        <w:t>Successivamente, a seguito della programmata eliminazione degli apparecchi AWP da bar e tabacchi, i punti vendita si ridurranno ulteriormente.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A7353" w:rsidRPr="00FF6E17" w:rsidRDefault="0009220D" w:rsidP="00191F16">
      <w:pPr>
        <w:pStyle w:val="p1"/>
        <w:jc w:val="both"/>
        <w:rPr>
          <w:rStyle w:val="s1"/>
          <w:b/>
        </w:rPr>
      </w:pPr>
      <w:r w:rsidRPr="00FF6E17">
        <w:rPr>
          <w:rStyle w:val="s1"/>
          <w:b/>
        </w:rPr>
        <w:t>Perciò</w:t>
      </w:r>
      <w:r w:rsidR="00116C4A" w:rsidRPr="00FF6E17">
        <w:rPr>
          <w:rStyle w:val="s1"/>
          <w:b/>
        </w:rPr>
        <w:t xml:space="preserve">, a </w:t>
      </w:r>
      <w:proofErr w:type="gramStart"/>
      <w:r w:rsidR="00116C4A" w:rsidRPr="00FF6E17">
        <w:rPr>
          <w:rStyle w:val="s1"/>
          <w:b/>
        </w:rPr>
        <w:t>regime</w:t>
      </w:r>
      <w:r w:rsidR="000A7353" w:rsidRPr="00FF6E17">
        <w:rPr>
          <w:rStyle w:val="s1"/>
          <w:b/>
        </w:rPr>
        <w:t>,  i</w:t>
      </w:r>
      <w:proofErr w:type="gramEnd"/>
      <w:r w:rsidR="000A7353" w:rsidRPr="00FF6E17">
        <w:rPr>
          <w:rStyle w:val="s1"/>
          <w:b/>
        </w:rPr>
        <w:t xml:space="preserve"> punti vendita</w:t>
      </w:r>
      <w:r w:rsidR="00116C4A" w:rsidRPr="00FF6E17">
        <w:rPr>
          <w:rStyle w:val="s1"/>
          <w:b/>
        </w:rPr>
        <w:t xml:space="preserve"> in cui potranno essere</w:t>
      </w:r>
      <w:r w:rsidRPr="00FF6E17">
        <w:rPr>
          <w:rStyle w:val="s1"/>
          <w:b/>
        </w:rPr>
        <w:t xml:space="preserve"> p</w:t>
      </w:r>
      <w:r w:rsidR="00116C4A" w:rsidRPr="00FF6E17">
        <w:rPr>
          <w:rStyle w:val="s1"/>
          <w:b/>
        </w:rPr>
        <w:t>resenti le AWP</w:t>
      </w:r>
      <w:r w:rsidR="00F75CFF" w:rsidRPr="00FF6E17">
        <w:rPr>
          <w:rStyle w:val="s1"/>
          <w:b/>
        </w:rPr>
        <w:t xml:space="preserve">, rispetto agli attuali </w:t>
      </w:r>
      <w:r w:rsidR="000A7353" w:rsidRPr="00FF6E17">
        <w:rPr>
          <w:rStyle w:val="s1"/>
          <w:b/>
        </w:rPr>
        <w:t xml:space="preserve">98.600 </w:t>
      </w:r>
      <w:proofErr w:type="spellStart"/>
      <w:r w:rsidR="000A7353" w:rsidRPr="00FF6E17">
        <w:rPr>
          <w:rStyle w:val="s1"/>
          <w:b/>
        </w:rPr>
        <w:t>ca</w:t>
      </w:r>
      <w:proofErr w:type="spellEnd"/>
      <w:r w:rsidR="00610470">
        <w:rPr>
          <w:rStyle w:val="s1"/>
          <w:b/>
        </w:rPr>
        <w:t>,</w:t>
      </w:r>
      <w:r w:rsidR="000A7353" w:rsidRPr="00FF6E17">
        <w:rPr>
          <w:rStyle w:val="s1"/>
          <w:b/>
        </w:rPr>
        <w:t xml:space="preserve">  </w:t>
      </w:r>
      <w:r w:rsidR="00FF6E17" w:rsidRPr="00FF6E17">
        <w:rPr>
          <w:rStyle w:val="s1"/>
          <w:b/>
        </w:rPr>
        <w:t>saranno così distribuiti:</w:t>
      </w:r>
    </w:p>
    <w:p w:rsidR="00F75CFF" w:rsidRPr="00FF6E17" w:rsidRDefault="00116C4A" w:rsidP="00191F16">
      <w:pPr>
        <w:pStyle w:val="p1"/>
        <w:jc w:val="both"/>
        <w:rPr>
          <w:rStyle w:val="s1"/>
          <w:b/>
        </w:rPr>
      </w:pPr>
      <w:proofErr w:type="gramStart"/>
      <w:r w:rsidRPr="00FF6E17">
        <w:rPr>
          <w:rStyle w:val="s1"/>
          <w:b/>
        </w:rPr>
        <w:t>un</w:t>
      </w:r>
      <w:proofErr w:type="gramEnd"/>
      <w:r w:rsidRPr="00FF6E17">
        <w:rPr>
          <w:rStyle w:val="s1"/>
          <w:b/>
        </w:rPr>
        <w:t xml:space="preserve"> numero massimo di </w:t>
      </w:r>
      <w:r w:rsidR="00F75CFF" w:rsidRPr="00FF6E17">
        <w:rPr>
          <w:rStyle w:val="s1"/>
          <w:b/>
        </w:rPr>
        <w:t>18.000</w:t>
      </w:r>
      <w:r w:rsidR="00FF6E17" w:rsidRPr="00FF6E17">
        <w:rPr>
          <w:rStyle w:val="s1"/>
          <w:b/>
        </w:rPr>
        <w:t xml:space="preserve"> </w:t>
      </w:r>
      <w:proofErr w:type="spellStart"/>
      <w:r w:rsidR="00FF6E17" w:rsidRPr="00FF6E17">
        <w:rPr>
          <w:rStyle w:val="s1"/>
          <w:b/>
        </w:rPr>
        <w:t>ca</w:t>
      </w:r>
      <w:proofErr w:type="spellEnd"/>
      <w:r w:rsidR="00FF6E17" w:rsidRPr="00FF6E17">
        <w:rPr>
          <w:rStyle w:val="s1"/>
          <w:b/>
        </w:rPr>
        <w:t xml:space="preserve"> sale e punti gioco, rispetto ai 29.600 attuali,</w:t>
      </w:r>
      <w:r w:rsidR="00514492">
        <w:rPr>
          <w:rStyle w:val="s1"/>
          <w:b/>
        </w:rPr>
        <w:t xml:space="preserve"> (con una effettiva riduzione di oltre 10.000 punti vendita </w:t>
      </w:r>
      <w:proofErr w:type="spellStart"/>
      <w:r w:rsidR="00514492">
        <w:rPr>
          <w:rStyle w:val="s1"/>
          <w:b/>
        </w:rPr>
        <w:t>ca</w:t>
      </w:r>
      <w:proofErr w:type="spellEnd"/>
      <w:r w:rsidR="00514492">
        <w:rPr>
          <w:rStyle w:val="s1"/>
          <w:b/>
        </w:rPr>
        <w:t>),</w:t>
      </w:r>
      <w:r w:rsidR="00FF6E17" w:rsidRPr="00FF6E17">
        <w:rPr>
          <w:rStyle w:val="s1"/>
          <w:b/>
        </w:rPr>
        <w:t xml:space="preserve"> così articolati:</w:t>
      </w:r>
    </w:p>
    <w:p w:rsidR="00F75CFF" w:rsidRPr="00FF6E17" w:rsidRDefault="00F75CFF" w:rsidP="00191F16">
      <w:pPr>
        <w:pStyle w:val="p1"/>
        <w:jc w:val="both"/>
        <w:rPr>
          <w:rStyle w:val="s1"/>
          <w:b/>
        </w:rPr>
      </w:pPr>
    </w:p>
    <w:p w:rsidR="00F75CFF" w:rsidRPr="00F75CFF" w:rsidRDefault="0009220D" w:rsidP="00F75CFF">
      <w:pPr>
        <w:pStyle w:val="p1"/>
        <w:numPr>
          <w:ilvl w:val="0"/>
          <w:numId w:val="10"/>
        </w:numPr>
        <w:jc w:val="both"/>
        <w:rPr>
          <w:rStyle w:val="s1"/>
          <w:rFonts w:ascii=".SF UI Text" w:hAnsi=".SF UI Text"/>
          <w:sz w:val="26"/>
          <w:szCs w:val="26"/>
        </w:rPr>
      </w:pPr>
      <w:r>
        <w:rPr>
          <w:rStyle w:val="s1"/>
        </w:rPr>
        <w:lastRenderedPageBreak/>
        <w:t xml:space="preserve">10.000 </w:t>
      </w:r>
      <w:r w:rsidR="00F75CFF">
        <w:rPr>
          <w:rStyle w:val="s1"/>
        </w:rPr>
        <w:t>agenzie o negozi aventi come attività prevalente la vendita di prodotti di gioco pubblici</w:t>
      </w:r>
      <w:r>
        <w:rPr>
          <w:rStyle w:val="s1"/>
        </w:rPr>
        <w:t xml:space="preserve"> (come previsto dalla legge di sta</w:t>
      </w:r>
      <w:r w:rsidR="00F75CFF">
        <w:rPr>
          <w:rStyle w:val="s1"/>
        </w:rPr>
        <w:t xml:space="preserve">bilità 2016), </w:t>
      </w:r>
    </w:p>
    <w:p w:rsidR="00F75CFF" w:rsidRPr="00F75CFF" w:rsidRDefault="00F75CFF" w:rsidP="00F75CFF">
      <w:pPr>
        <w:pStyle w:val="p1"/>
        <w:numPr>
          <w:ilvl w:val="0"/>
          <w:numId w:val="10"/>
        </w:numPr>
        <w:jc w:val="both"/>
        <w:rPr>
          <w:rStyle w:val="s1"/>
          <w:rFonts w:ascii=".SF UI Text" w:hAnsi=".SF UI Text"/>
          <w:sz w:val="26"/>
          <w:szCs w:val="26"/>
        </w:rPr>
      </w:pPr>
      <w:r>
        <w:rPr>
          <w:rStyle w:val="s1"/>
        </w:rPr>
        <w:t>5.000</w:t>
      </w:r>
      <w:r w:rsidR="000A7353">
        <w:rPr>
          <w:rStyle w:val="s1"/>
        </w:rPr>
        <w:t xml:space="preserve"> </w:t>
      </w:r>
      <w:proofErr w:type="spellStart"/>
      <w:r w:rsidR="000A7353">
        <w:rPr>
          <w:rStyle w:val="s1"/>
        </w:rPr>
        <w:t>ca</w:t>
      </w:r>
      <w:proofErr w:type="spellEnd"/>
      <w:r w:rsidR="00FF6E17">
        <w:rPr>
          <w:rStyle w:val="s1"/>
        </w:rPr>
        <w:t xml:space="preserve"> sale giochi,</w:t>
      </w:r>
    </w:p>
    <w:p w:rsidR="00F75CFF" w:rsidRPr="00F75CFF" w:rsidRDefault="00F75CFF" w:rsidP="00F75CFF">
      <w:pPr>
        <w:pStyle w:val="p1"/>
        <w:numPr>
          <w:ilvl w:val="0"/>
          <w:numId w:val="10"/>
        </w:numPr>
        <w:jc w:val="both"/>
        <w:rPr>
          <w:rStyle w:val="s1"/>
          <w:rFonts w:ascii=".SF UI Text" w:hAnsi=".SF UI Text"/>
          <w:sz w:val="26"/>
          <w:szCs w:val="26"/>
        </w:rPr>
      </w:pPr>
      <w:r>
        <w:rPr>
          <w:rStyle w:val="s1"/>
        </w:rPr>
        <w:t xml:space="preserve">3.000 </w:t>
      </w:r>
      <w:proofErr w:type="spellStart"/>
      <w:r w:rsidR="000A7353">
        <w:rPr>
          <w:rStyle w:val="s1"/>
        </w:rPr>
        <w:t>ca</w:t>
      </w:r>
      <w:proofErr w:type="spellEnd"/>
      <w:r w:rsidR="000A7353">
        <w:rPr>
          <w:rStyle w:val="s1"/>
        </w:rPr>
        <w:t xml:space="preserve"> </w:t>
      </w:r>
      <w:r w:rsidR="00FF6E17">
        <w:rPr>
          <w:rStyle w:val="s1"/>
        </w:rPr>
        <w:t>sale VLT e Bingo</w:t>
      </w:r>
    </w:p>
    <w:p w:rsidR="0009220D" w:rsidRPr="000A7353" w:rsidRDefault="000A7353" w:rsidP="00F75CFF">
      <w:pPr>
        <w:pStyle w:val="p1"/>
        <w:jc w:val="both"/>
        <w:rPr>
          <w:b/>
        </w:rPr>
      </w:pPr>
      <w:proofErr w:type="gramStart"/>
      <w:r w:rsidRPr="000A7353">
        <w:rPr>
          <w:rStyle w:val="s1"/>
          <w:b/>
        </w:rPr>
        <w:t>e</w:t>
      </w:r>
      <w:proofErr w:type="gramEnd"/>
      <w:r>
        <w:rPr>
          <w:rStyle w:val="s1"/>
          <w:b/>
        </w:rPr>
        <w:t xml:space="preserve"> la quota residua</w:t>
      </w:r>
      <w:r w:rsidR="0009220D" w:rsidRPr="000A7353">
        <w:rPr>
          <w:rStyle w:val="s1"/>
          <w:b/>
        </w:rPr>
        <w:t xml:space="preserve"> di esercizi che</w:t>
      </w:r>
      <w:r w:rsidR="00F75CFF" w:rsidRPr="000A7353">
        <w:rPr>
          <w:rStyle w:val="s1"/>
          <w:b/>
        </w:rPr>
        <w:t xml:space="preserve"> disporranno di aree o locali dedicati secondo i criteri dimensionali relativi alla superficie dei locali.</w:t>
      </w:r>
    </w:p>
    <w:p w:rsidR="0009220D" w:rsidRDefault="000A09C2" w:rsidP="00191F16">
      <w:pPr>
        <w:pStyle w:val="p1"/>
        <w:jc w:val="both"/>
      </w:pPr>
      <w:r>
        <w:rPr>
          <w:rStyle w:val="s2"/>
        </w:rPr>
        <w:t>Entro tale data</w:t>
      </w:r>
      <w:r w:rsidR="00116C4A">
        <w:rPr>
          <w:rStyle w:val="s2"/>
        </w:rPr>
        <w:t xml:space="preserve"> andrà pure definita la distribuzione territoriale dei punti gioco</w:t>
      </w:r>
      <w:r>
        <w:rPr>
          <w:rStyle w:val="s2"/>
        </w:rPr>
        <w:t>,</w:t>
      </w:r>
      <w:r w:rsidR="00116C4A">
        <w:rPr>
          <w:rStyle w:val="s2"/>
        </w:rPr>
        <w:t xml:space="preserve"> </w:t>
      </w:r>
      <w:r>
        <w:rPr>
          <w:rStyle w:val="s2"/>
        </w:rPr>
        <w:t xml:space="preserve">in maniera omogenea, </w:t>
      </w:r>
      <w:r w:rsidR="00116C4A">
        <w:rPr>
          <w:rStyle w:val="s2"/>
        </w:rPr>
        <w:t>su</w:t>
      </w:r>
      <w:r>
        <w:rPr>
          <w:rStyle w:val="s2"/>
        </w:rPr>
        <w:t>l territorio nazionale</w:t>
      </w:r>
      <w:r w:rsidR="00116C4A">
        <w:rPr>
          <w:rStyle w:val="s2"/>
        </w:rPr>
        <w:t xml:space="preserve">, </w:t>
      </w:r>
      <w:r w:rsidR="0009220D">
        <w:rPr>
          <w:rStyle w:val="s2"/>
        </w:rPr>
        <w:t>in proporzione al numero, alla densità e alla composizione anagrafica della popolazione di ciascuna Regione o area territorialmente individuata. I suddetti criteri e la loro applicazione saranno definiti in sede tecnica della Conferenza unificata</w:t>
      </w:r>
      <w:r w:rsidR="00116C4A">
        <w:rPr>
          <w:rStyle w:val="s2"/>
        </w:rPr>
        <w:t>.</w:t>
      </w:r>
      <w:r w:rsidR="0009220D">
        <w:rPr>
          <w:rStyle w:val="s2"/>
        </w:rPr>
        <w:t xml:space="preserve"> </w:t>
      </w:r>
    </w:p>
    <w:p w:rsidR="0009220D" w:rsidRDefault="0009220D" w:rsidP="00191F16">
      <w:pPr>
        <w:pStyle w:val="p2"/>
        <w:jc w:val="both"/>
      </w:pPr>
    </w:p>
    <w:p w:rsidR="0009220D" w:rsidRDefault="0009220D" w:rsidP="00191F16">
      <w:pPr>
        <w:pStyle w:val="p1"/>
        <w:jc w:val="both"/>
      </w:pPr>
      <w:r>
        <w:rPr>
          <w:rStyle w:val="s1"/>
        </w:rPr>
        <w:t>&gt; 2) innalzare il livello qualitativo dei punti gioco.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A tal fine introdurre, per i punti gioco che rimangono dopo la riduzione di cui sopra, una certificazione di doppio livello (classe A e classe B) e un rigoroso sistema di controlli.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In questo nuovo contesto vanno considerate valide, in materia di distanze, le decisioni normative adottate finora dagli enti locali, con la eccezione dei punti gioco di tipo A,</w:t>
      </w:r>
      <w:r>
        <w:rPr>
          <w:rStyle w:val="apple-converted-space"/>
          <w:rFonts w:ascii=".SFUIText" w:hAnsi=".SFUIText"/>
          <w:sz w:val="34"/>
          <w:szCs w:val="34"/>
        </w:rPr>
        <w:t> </w:t>
      </w:r>
      <w:r>
        <w:rPr>
          <w:rStyle w:val="s2"/>
        </w:rPr>
        <w:t>nei limiti del numero di punti gioco che saranno ammessi nelle Regioni o aree,</w:t>
      </w:r>
      <w:r w:rsidR="000A09C2">
        <w:rPr>
          <w:rStyle w:val="s2"/>
        </w:rPr>
        <w:t xml:space="preserve"> come previsti al punto 1</w:t>
      </w:r>
      <w:proofErr w:type="gramStart"/>
      <w:r w:rsidR="000A09C2">
        <w:rPr>
          <w:rStyle w:val="s2"/>
        </w:rPr>
        <w:t xml:space="preserve">), </w:t>
      </w:r>
      <w:r>
        <w:rPr>
          <w:rStyle w:val="s2"/>
        </w:rPr>
        <w:t xml:space="preserve"> così</w:t>
      </w:r>
      <w:proofErr w:type="gramEnd"/>
      <w:r>
        <w:rPr>
          <w:rStyle w:val="s2"/>
        </w:rPr>
        <w:t xml:space="preserve"> come definiti in sede tecnica della Conferenza unificata</w:t>
      </w:r>
      <w:r w:rsidR="00116C4A">
        <w:rPr>
          <w:rStyle w:val="s2"/>
        </w:rPr>
        <w:t>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~ Sono ricompresi nella classe A i punti di vendita gioco che rispondano alle seguenti caratteristiche e/o ad altri criteri che verranno condivisi in sede di Conferenza con gli Enti locali: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controllo all’ingresso, con documento d’identità e videosorveglianza;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eliminazione di immagini eccessive che inducano al gioco;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standard di arredo interno e luci, più segnaletica esterna che attesta la certificazione pubblica (modello “T” di tabacchi);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rispetto di vincoli architettonici;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 xml:space="preserve">• formazione specifica per gli addetti anche con approccio di contrasto alla </w:t>
      </w:r>
      <w:proofErr w:type="spellStart"/>
      <w:r>
        <w:rPr>
          <w:rStyle w:val="s1"/>
        </w:rPr>
        <w:t>ludopatia</w:t>
      </w:r>
      <w:proofErr w:type="spellEnd"/>
      <w:r>
        <w:rPr>
          <w:rStyle w:val="s1"/>
        </w:rPr>
        <w:t>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lastRenderedPageBreak/>
        <w:t>• rispetto di limiti minimi sui volumi di spazio dedicati al gioco e sui numeri minimi e massimi di apparecchi adibiti al gioco;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trasparenza delle comunicazioni in materia di gioco;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 xml:space="preserve">• obbligo di segnalazione di soggetti patologici ai servizi sociali del comune e divieto di accesso per persone soggette alla </w:t>
      </w:r>
      <w:proofErr w:type="spellStart"/>
      <w:r>
        <w:rPr>
          <w:rStyle w:val="s1"/>
        </w:rPr>
        <w:t>ludopatia</w:t>
      </w:r>
      <w:proofErr w:type="spellEnd"/>
      <w:r>
        <w:rPr>
          <w:rStyle w:val="s1"/>
        </w:rPr>
        <w:t xml:space="preserve"> ed inserite in programma di recupero dalla </w:t>
      </w:r>
      <w:proofErr w:type="spellStart"/>
      <w:r>
        <w:rPr>
          <w:rStyle w:val="s1"/>
        </w:rPr>
        <w:t>ludopatia</w:t>
      </w:r>
      <w:proofErr w:type="spellEnd"/>
      <w:r>
        <w:rPr>
          <w:rStyle w:val="s1"/>
        </w:rPr>
        <w:t xml:space="preserve"> stessa.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 xml:space="preserve">~ i punti gioco </w:t>
      </w:r>
      <w:r>
        <w:rPr>
          <w:rStyle w:val="s2"/>
        </w:rPr>
        <w:t xml:space="preserve">che superino i limiti numerici territorialmente stabiliti (come indicato nel punto 1) o </w:t>
      </w:r>
      <w:r>
        <w:rPr>
          <w:rStyle w:val="s1"/>
        </w:rPr>
        <w:t>non rispettino le caratteristiche previste per la classe A saranno classificati di tipo B e per essi varrebbero i vincoli di distanza imposti dagli enti territoriali e, in aggiunta, si dovrebbero comunque imporre limiti minimi sui volumi considerati necessari e idonei ad offrire gioco pubblico (metrature e numero apparecchi</w:t>
      </w:r>
      <w:r w:rsidR="00F75CFF">
        <w:rPr>
          <w:rStyle w:val="s1"/>
        </w:rPr>
        <w:t>), ivi compresi le aree dedicate</w:t>
      </w:r>
      <w:r>
        <w:rPr>
          <w:rStyle w:val="s1"/>
        </w:rPr>
        <w:t xml:space="preserve"> dei corner e il loro arredo/accesso; nonché sulla trasparenza delle comunicazioni in materia di gioco.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&gt; 3) definire un sistema di regole in materia di orari e di controlli.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Stabilire per tutti i punti gioco, in materia di orari</w:t>
      </w:r>
      <w:r w:rsidRPr="000A09C2">
        <w:rPr>
          <w:rStyle w:val="s1"/>
          <w:b/>
        </w:rPr>
        <w:t>, una apertura minima</w:t>
      </w:r>
      <w:r w:rsidR="00116C4A" w:rsidRPr="000A09C2">
        <w:rPr>
          <w:rStyle w:val="s1"/>
          <w:b/>
        </w:rPr>
        <w:t xml:space="preserve"> di 10 ore per le </w:t>
      </w:r>
      <w:proofErr w:type="gramStart"/>
      <w:r w:rsidR="00116C4A" w:rsidRPr="000A09C2">
        <w:rPr>
          <w:rStyle w:val="s1"/>
          <w:b/>
        </w:rPr>
        <w:t xml:space="preserve">AWP,  </w:t>
      </w:r>
      <w:r w:rsidR="000A09C2" w:rsidRPr="000A09C2">
        <w:rPr>
          <w:rStyle w:val="s1"/>
          <w:b/>
        </w:rPr>
        <w:t>dalle</w:t>
      </w:r>
      <w:proofErr w:type="gramEnd"/>
      <w:r w:rsidR="000A09C2" w:rsidRPr="000A09C2">
        <w:rPr>
          <w:rStyle w:val="s1"/>
          <w:b/>
        </w:rPr>
        <w:t xml:space="preserve"> 14 alle 16 ore per le sale scommesse e per le  sale bingo </w:t>
      </w:r>
      <w:r w:rsidRPr="000A09C2">
        <w:rPr>
          <w:rStyle w:val="s1"/>
          <w:b/>
        </w:rPr>
        <w:t>,</w:t>
      </w:r>
      <w:r>
        <w:rPr>
          <w:rStyle w:val="s1"/>
        </w:rPr>
        <w:t xml:space="preserve"> la cui distribuzione nell'arco della giornata va definita in una prospettiva il più omogenea possibile nel territorio nazionale, anche ai fini del futuro monitoraggio telematico del rispetto dei limiti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che verranno definiti.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Inasprire i controlli contro il gioco illegale, attribuendo competenze specifiche anche agli organi di polizia locale, prevedendo un apposito potere sanzionatorio e l’attribuzione dei relativi proventi ai comuni.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 xml:space="preserve">&gt; 4) accentuare l'azione preventiva e di contrasto alla </w:t>
      </w:r>
      <w:proofErr w:type="spellStart"/>
      <w:r>
        <w:rPr>
          <w:rStyle w:val="s1"/>
        </w:rPr>
        <w:t>ludopatia</w:t>
      </w:r>
      <w:proofErr w:type="spellEnd"/>
      <w:r>
        <w:rPr>
          <w:rStyle w:val="s1"/>
        </w:rPr>
        <w:t>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A tal fine: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Impegnare il Governo all'apertura di un confronto a livello europeo per favorire una legislazione comunitaria omogenea sulla pubblicità.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Prev</w:t>
      </w:r>
      <w:r w:rsidR="003F3AA5">
        <w:rPr>
          <w:rStyle w:val="s1"/>
        </w:rPr>
        <w:t xml:space="preserve">edere, che </w:t>
      </w:r>
      <w:r>
        <w:rPr>
          <w:rStyle w:val="s1"/>
        </w:rPr>
        <w:t>le nuove AWP da remoto</w:t>
      </w:r>
      <w:r w:rsidR="003F3AA5">
        <w:rPr>
          <w:rStyle w:val="s1"/>
        </w:rPr>
        <w:t xml:space="preserve"> mantengano le caratteristiche attuali di bassa giocata e bassa vincita escludendo, pertanto, la possibilità di utilizzare banconote o qualsiasi altra forma di moneta elettronica ed inoltre contengano nuovi</w:t>
      </w:r>
      <w:r>
        <w:rPr>
          <w:rStyle w:val="s1"/>
        </w:rPr>
        <w:t xml:space="preserve"> interventi tecnologici a </w:t>
      </w:r>
      <w:r>
        <w:rPr>
          <w:rStyle w:val="s1"/>
        </w:rPr>
        <w:lastRenderedPageBreak/>
        <w:t xml:space="preserve">salvaguardia del giocatore e di prevenzione e contrasto agli effetti della </w:t>
      </w:r>
      <w:proofErr w:type="spellStart"/>
      <w:r>
        <w:rPr>
          <w:rStyle w:val="s1"/>
        </w:rPr>
        <w:t>ludopatia</w:t>
      </w:r>
      <w:proofErr w:type="spellEnd"/>
      <w:r>
        <w:rPr>
          <w:rStyle w:val="s1"/>
        </w:rPr>
        <w:t>, quali ad esempio:</w:t>
      </w:r>
    </w:p>
    <w:p w:rsidR="0009220D" w:rsidRDefault="0009220D" w:rsidP="003F3AA5">
      <w:pPr>
        <w:pStyle w:val="p1"/>
        <w:ind w:firstLine="708"/>
        <w:jc w:val="both"/>
      </w:pPr>
      <w:r>
        <w:rPr>
          <w:rStyle w:val="s1"/>
        </w:rPr>
        <w:t>i) strumenti di autolimitazione in termini di tempo e di spesa;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3F3AA5">
      <w:pPr>
        <w:pStyle w:val="p1"/>
        <w:ind w:left="708"/>
        <w:jc w:val="both"/>
      </w:pPr>
      <w:r>
        <w:rPr>
          <w:rStyle w:val="s1"/>
        </w:rPr>
        <w:t>ii) messaggi automatici durante il gioco che evidenziano la durata dello stesso;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3F3AA5">
      <w:pPr>
        <w:pStyle w:val="p1"/>
        <w:ind w:firstLine="708"/>
        <w:jc w:val="both"/>
      </w:pPr>
      <w:r>
        <w:rPr>
          <w:rStyle w:val="s1"/>
        </w:rPr>
        <w:t>iii) abbassamento degli importi minimi delle giocate;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3F3AA5" w:rsidP="00191F16">
      <w:pPr>
        <w:pStyle w:val="p1"/>
        <w:jc w:val="both"/>
      </w:pPr>
      <w:proofErr w:type="gramStart"/>
      <w:r>
        <w:rPr>
          <w:rStyle w:val="s1"/>
        </w:rPr>
        <w:t>•  Per</w:t>
      </w:r>
      <w:proofErr w:type="gramEnd"/>
      <w:r>
        <w:rPr>
          <w:rStyle w:val="s1"/>
        </w:rPr>
        <w:t xml:space="preserve"> le VLT eliminare </w:t>
      </w:r>
      <w:r w:rsidR="0009220D">
        <w:rPr>
          <w:rStyle w:val="s1"/>
        </w:rPr>
        <w:t>la possibilità di effettuare giocate di valor</w:t>
      </w:r>
      <w:r>
        <w:rPr>
          <w:rStyle w:val="s1"/>
        </w:rPr>
        <w:t>e superiore a 200 (duecento) euro</w:t>
      </w:r>
      <w:r w:rsidR="0009220D">
        <w:rPr>
          <w:rStyle w:val="s1"/>
        </w:rPr>
        <w:t>;</w:t>
      </w:r>
      <w:r w:rsidR="0009220D"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 xml:space="preserve">• Adottare regole e incentivi per la rottamazione delle AWP che vengono dismesse a seguito sia della riduzione prevista di almeno il 30%, sia della sostituzione con </w:t>
      </w:r>
      <w:proofErr w:type="gramStart"/>
      <w:r>
        <w:rPr>
          <w:rStyle w:val="s1"/>
        </w:rPr>
        <w:t>la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adozione</w:t>
      </w:r>
      <w:proofErr w:type="gramEnd"/>
      <w:r>
        <w:rPr>
          <w:rStyle w:val="s1"/>
        </w:rPr>
        <w:t xml:space="preserve"> delle AWPR.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&gt; 5) completare l'intervento normativo e di modernizzazione del settore dei giochi.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A tal fine, oltre ad applicare tutte le decisioni di cui sopra: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predisporre le normative necessarie per il passaggio al sistema del "margine" per il calcolo delle entrate pubbliche;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• realizzare, in collaborazione col Ministero degli Interni e gli enti locali interessati, una revisione dell'attuale disciplina dei Casinò, finalizzata al risanamento del settore e a una razionale distribuzione nel territorio nazionale, anche allo scopo di aiutare la scelta di ridurre la frammentazione della attuale diffusione territoriale del gioco.</w:t>
      </w:r>
    </w:p>
    <w:p w:rsidR="0009220D" w:rsidRDefault="0009220D" w:rsidP="00191F16">
      <w:pPr>
        <w:pStyle w:val="p1"/>
        <w:jc w:val="both"/>
        <w:rPr>
          <w:rStyle w:val="apple-converted-space"/>
          <w:rFonts w:ascii=".SFUIText" w:hAnsi=".SFUIText"/>
          <w:sz w:val="34"/>
          <w:szCs w:val="34"/>
        </w:rPr>
      </w:pPr>
      <w:r>
        <w:rPr>
          <w:rStyle w:val="s1"/>
        </w:rPr>
        <w:t>• completare con il Ministero dell'Agricoltura le modalità di rilancio del settore ippico e della Lega ippica.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A09C2" w:rsidRDefault="000A09C2" w:rsidP="00191F16">
      <w:pPr>
        <w:pStyle w:val="p1"/>
        <w:jc w:val="both"/>
        <w:rPr>
          <w:rStyle w:val="apple-converted-space"/>
          <w:rFonts w:ascii=".SFUIText" w:hAnsi=".SFUIText"/>
          <w:sz w:val="34"/>
          <w:szCs w:val="34"/>
        </w:rPr>
      </w:pPr>
    </w:p>
    <w:p w:rsidR="000A09C2" w:rsidRPr="000A09C2" w:rsidRDefault="000A09C2" w:rsidP="000A09C2">
      <w:pPr>
        <w:pStyle w:val="p1"/>
        <w:jc w:val="both"/>
        <w:rPr>
          <w:b/>
        </w:rPr>
      </w:pPr>
      <w:r w:rsidRPr="000A09C2">
        <w:rPr>
          <w:rStyle w:val="apple-converted-space"/>
          <w:rFonts w:ascii=".SFUIText" w:hAnsi=".SFUIText"/>
          <w:b/>
          <w:sz w:val="34"/>
          <w:szCs w:val="34"/>
        </w:rPr>
        <w:t xml:space="preserve">&gt;6) assicurare un costante monitoraggio dell’applicazione della riforma; il monitoraggio è affidato all’Agenzia delle Dogane e dei Monopoli che si avvarrà del partner tecnologico </w:t>
      </w:r>
      <w:proofErr w:type="spellStart"/>
      <w:r w:rsidRPr="000A09C2">
        <w:rPr>
          <w:rStyle w:val="apple-converted-space"/>
          <w:rFonts w:ascii=".SFUIText" w:hAnsi=".SFUIText"/>
          <w:b/>
          <w:sz w:val="34"/>
          <w:szCs w:val="34"/>
        </w:rPr>
        <w:t>Sogei</w:t>
      </w:r>
      <w:proofErr w:type="spellEnd"/>
      <w:r w:rsidRPr="000A09C2">
        <w:rPr>
          <w:rStyle w:val="apple-converted-space"/>
          <w:rFonts w:ascii=".SFUIText" w:hAnsi=".SFUIText"/>
          <w:b/>
          <w:sz w:val="34"/>
          <w:szCs w:val="34"/>
        </w:rPr>
        <w:t>. Il Ministero dell’Economia e delle Finanze riferirà periodicamente sui risultati del monitoraggio alla Conferenza Unificata che potrà decidere di consultare esperti ed istituti specializzati.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1"/>
        <w:jc w:val="both"/>
      </w:pPr>
      <w:r>
        <w:rPr>
          <w:rStyle w:val="s1"/>
        </w:rPr>
        <w:t>La conclusione dei lavori della Conferenza Unificata verrà tradotta in un decreto del Ministro dell'E</w:t>
      </w:r>
      <w:r w:rsidR="003F7225">
        <w:rPr>
          <w:rStyle w:val="s1"/>
        </w:rPr>
        <w:t>conomia e delle Finanze.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09220D" w:rsidRDefault="0009220D" w:rsidP="00191F16">
      <w:pPr>
        <w:pStyle w:val="p2"/>
        <w:jc w:val="both"/>
      </w:pPr>
      <w:r>
        <w:rPr>
          <w:rStyle w:val="apple-converted-space"/>
          <w:rFonts w:ascii=".SFUIText" w:hAnsi=".SFUIText"/>
          <w:sz w:val="34"/>
          <w:szCs w:val="34"/>
        </w:rPr>
        <w:lastRenderedPageBreak/>
        <w:t> </w:t>
      </w:r>
    </w:p>
    <w:p w:rsidR="004E5C75" w:rsidRDefault="009A5E5F" w:rsidP="00191F16">
      <w:pPr>
        <w:jc w:val="both"/>
      </w:pPr>
      <w:r>
        <w:t>17</w:t>
      </w:r>
      <w:bookmarkStart w:id="0" w:name="_GoBack"/>
      <w:bookmarkEnd w:id="0"/>
      <w:r w:rsidR="00EE1AF4">
        <w:t xml:space="preserve">/11/2016 </w:t>
      </w:r>
    </w:p>
    <w:sectPr w:rsidR="004E5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F4" w:rsidRDefault="001D73F4" w:rsidP="00BD234A">
      <w:pPr>
        <w:spacing w:after="0" w:line="240" w:lineRule="auto"/>
      </w:pPr>
      <w:r>
        <w:separator/>
      </w:r>
    </w:p>
  </w:endnote>
  <w:endnote w:type="continuationSeparator" w:id="0">
    <w:p w:rsidR="001D73F4" w:rsidRDefault="001D73F4" w:rsidP="00BD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A" w:rsidRDefault="00BD23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289224"/>
      <w:docPartObj>
        <w:docPartGallery w:val="Page Numbers (Bottom of Page)"/>
        <w:docPartUnique/>
      </w:docPartObj>
    </w:sdtPr>
    <w:sdtEndPr/>
    <w:sdtContent>
      <w:p w:rsidR="00BD234A" w:rsidRDefault="00BD23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E5F">
          <w:rPr>
            <w:noProof/>
          </w:rPr>
          <w:t>6</w:t>
        </w:r>
        <w:r>
          <w:fldChar w:fldCharType="end"/>
        </w:r>
      </w:p>
    </w:sdtContent>
  </w:sdt>
  <w:p w:rsidR="00BD234A" w:rsidRDefault="00BD23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A" w:rsidRDefault="00BD23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F4" w:rsidRDefault="001D73F4" w:rsidP="00BD234A">
      <w:pPr>
        <w:spacing w:after="0" w:line="240" w:lineRule="auto"/>
      </w:pPr>
      <w:r>
        <w:separator/>
      </w:r>
    </w:p>
  </w:footnote>
  <w:footnote w:type="continuationSeparator" w:id="0">
    <w:p w:rsidR="001D73F4" w:rsidRDefault="001D73F4" w:rsidP="00BD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A" w:rsidRDefault="00BD23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A" w:rsidRDefault="00BD23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4A" w:rsidRDefault="00BD23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F0F"/>
    <w:multiLevelType w:val="hybridMultilevel"/>
    <w:tmpl w:val="E0E2D5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61A1E"/>
    <w:multiLevelType w:val="hybridMultilevel"/>
    <w:tmpl w:val="8D1E194C"/>
    <w:lvl w:ilvl="0" w:tplc="6C8E168E">
      <w:start w:val="1"/>
      <w:numFmt w:val="decimal"/>
      <w:lvlText w:val="%1-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45CF"/>
    <w:multiLevelType w:val="hybridMultilevel"/>
    <w:tmpl w:val="584276F4"/>
    <w:lvl w:ilvl="0" w:tplc="A4F00AFA">
      <w:start w:val="1"/>
      <w:numFmt w:val="decimal"/>
      <w:lvlText w:val="%1)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32E6"/>
    <w:multiLevelType w:val="hybridMultilevel"/>
    <w:tmpl w:val="4726D284"/>
    <w:lvl w:ilvl="0" w:tplc="A75E4A7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D67FF"/>
    <w:multiLevelType w:val="hybridMultilevel"/>
    <w:tmpl w:val="47C85802"/>
    <w:lvl w:ilvl="0" w:tplc="E1B8E21E">
      <w:start w:val="1"/>
      <w:numFmt w:val="decimal"/>
      <w:lvlText w:val="%1)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27753"/>
    <w:multiLevelType w:val="hybridMultilevel"/>
    <w:tmpl w:val="647EB50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3D09"/>
    <w:multiLevelType w:val="hybridMultilevel"/>
    <w:tmpl w:val="1E74AB78"/>
    <w:lvl w:ilvl="0" w:tplc="CFF2128E">
      <w:start w:val="1"/>
      <w:numFmt w:val="lowerLetter"/>
      <w:lvlText w:val="%1)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3EC2"/>
    <w:multiLevelType w:val="hybridMultilevel"/>
    <w:tmpl w:val="F468CCAA"/>
    <w:lvl w:ilvl="0" w:tplc="2342EC12">
      <w:start w:val="1"/>
      <w:numFmt w:val="decimal"/>
      <w:lvlText w:val="%1"/>
      <w:lvlJc w:val="left"/>
      <w:pPr>
        <w:ind w:left="360" w:hanging="360"/>
      </w:pPr>
      <w:rPr>
        <w:rFonts w:ascii=".SFUIText" w:eastAsia="Calibri" w:hAnsi=".SFUIText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D0E41"/>
    <w:multiLevelType w:val="hybridMultilevel"/>
    <w:tmpl w:val="0B2C19EC"/>
    <w:lvl w:ilvl="0" w:tplc="6C8E168E">
      <w:start w:val="1"/>
      <w:numFmt w:val="decimal"/>
      <w:lvlText w:val="%1-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C27CA"/>
    <w:multiLevelType w:val="hybridMultilevel"/>
    <w:tmpl w:val="7592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0D"/>
    <w:rsid w:val="000406EC"/>
    <w:rsid w:val="00054A23"/>
    <w:rsid w:val="00090C97"/>
    <w:rsid w:val="0009220D"/>
    <w:rsid w:val="00095450"/>
    <w:rsid w:val="000A09C2"/>
    <w:rsid w:val="000A7353"/>
    <w:rsid w:val="00116C4A"/>
    <w:rsid w:val="001836B1"/>
    <w:rsid w:val="00191F16"/>
    <w:rsid w:val="001D73F4"/>
    <w:rsid w:val="001E6887"/>
    <w:rsid w:val="00363166"/>
    <w:rsid w:val="003E5425"/>
    <w:rsid w:val="003F3AA5"/>
    <w:rsid w:val="003F7225"/>
    <w:rsid w:val="004250B5"/>
    <w:rsid w:val="00481F1D"/>
    <w:rsid w:val="004E5C75"/>
    <w:rsid w:val="00514492"/>
    <w:rsid w:val="005A6A64"/>
    <w:rsid w:val="005D29B5"/>
    <w:rsid w:val="00610470"/>
    <w:rsid w:val="006651C7"/>
    <w:rsid w:val="00672C98"/>
    <w:rsid w:val="007B2F03"/>
    <w:rsid w:val="007D3A59"/>
    <w:rsid w:val="00902D3F"/>
    <w:rsid w:val="00947923"/>
    <w:rsid w:val="009A5E5F"/>
    <w:rsid w:val="00A07966"/>
    <w:rsid w:val="00B84654"/>
    <w:rsid w:val="00BD234A"/>
    <w:rsid w:val="00C456D7"/>
    <w:rsid w:val="00E22E75"/>
    <w:rsid w:val="00E2586D"/>
    <w:rsid w:val="00EE1AF4"/>
    <w:rsid w:val="00F2371E"/>
    <w:rsid w:val="00F75CFF"/>
    <w:rsid w:val="00FA2FA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5FF-2EB4-4B25-B66C-8D4445A4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9220D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09220D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09220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Carpredefinitoparagrafo"/>
    <w:rsid w:val="0009220D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apple-converted-space">
    <w:name w:val="apple-converted-space"/>
    <w:basedOn w:val="Carpredefinitoparagrafo"/>
    <w:rsid w:val="0009220D"/>
  </w:style>
  <w:style w:type="paragraph" w:styleId="Intestazione">
    <w:name w:val="header"/>
    <w:basedOn w:val="Normale"/>
    <w:link w:val="IntestazioneCarattere"/>
    <w:uiPriority w:val="99"/>
    <w:unhideWhenUsed/>
    <w:rsid w:val="00BD2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34A"/>
  </w:style>
  <w:style w:type="paragraph" w:styleId="Pidipagina">
    <w:name w:val="footer"/>
    <w:basedOn w:val="Normale"/>
    <w:link w:val="PidipaginaCarattere"/>
    <w:uiPriority w:val="99"/>
    <w:unhideWhenUsed/>
    <w:rsid w:val="00BD2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3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AF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F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Lembo</dc:creator>
  <cp:keywords/>
  <dc:description/>
  <cp:lastModifiedBy>Daniela Lembo</cp:lastModifiedBy>
  <cp:revision>3</cp:revision>
  <cp:lastPrinted>2016-11-16T14:26:00Z</cp:lastPrinted>
  <dcterms:created xsi:type="dcterms:W3CDTF">2016-11-17T09:08:00Z</dcterms:created>
  <dcterms:modified xsi:type="dcterms:W3CDTF">2016-11-17T09:08:00Z</dcterms:modified>
</cp:coreProperties>
</file>